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F08D" w14:textId="77777777" w:rsidR="00214C83" w:rsidRPr="004A6EC3" w:rsidRDefault="00214C83" w:rsidP="004A6EC3">
      <w:pPr>
        <w:jc w:val="both"/>
        <w:outlineLvl w:val="0"/>
        <w:rPr>
          <w:rFonts w:ascii="Verdana" w:hAnsi="Verdana"/>
          <w:b/>
          <w:smallCaps/>
          <w:sz w:val="20"/>
          <w:lang w:val="nl-BE"/>
        </w:rPr>
      </w:pPr>
      <w:r w:rsidRPr="004A6EC3">
        <w:rPr>
          <w:rFonts w:ascii="Verdana" w:hAnsi="Verdana"/>
          <w:b/>
          <w:smallCaps/>
          <w:sz w:val="20"/>
          <w:lang w:val="nl-BE"/>
        </w:rPr>
        <w:t xml:space="preserve">jan jambon </w:t>
      </w:r>
    </w:p>
    <w:p w14:paraId="62E149A1" w14:textId="77777777" w:rsidR="00214C83" w:rsidRPr="004A6EC3" w:rsidRDefault="00214C83" w:rsidP="004A6EC3">
      <w:pPr>
        <w:jc w:val="both"/>
        <w:rPr>
          <w:rFonts w:ascii="Verdana" w:hAnsi="Verdana"/>
          <w:smallCaps/>
          <w:sz w:val="20"/>
          <w:lang w:val="nl-BE"/>
        </w:rPr>
      </w:pPr>
      <w:r w:rsidRPr="004A6EC3">
        <w:rPr>
          <w:rFonts w:ascii="Verdana" w:hAnsi="Verdana"/>
          <w:smallCaps/>
          <w:sz w:val="20"/>
          <w:lang w:val="nl-BE"/>
        </w:rPr>
        <w:t>minister-president van de vlaamse regering, vlaams minister van buitenlandse zaken, cultuur, digitalisering en facilitair management</w:t>
      </w:r>
    </w:p>
    <w:p w14:paraId="77D2A1B7" w14:textId="77777777" w:rsidR="00214C83" w:rsidRPr="004A6EC3" w:rsidRDefault="00214C83" w:rsidP="004A6EC3">
      <w:pPr>
        <w:pStyle w:val="StandaardSV"/>
        <w:pBdr>
          <w:bottom w:val="single" w:sz="4" w:space="1" w:color="auto"/>
        </w:pBdr>
        <w:rPr>
          <w:rFonts w:ascii="Verdana" w:hAnsi="Verdana"/>
          <w:sz w:val="20"/>
          <w:lang w:val="nl-BE"/>
        </w:rPr>
      </w:pPr>
    </w:p>
    <w:p w14:paraId="6692EFD3" w14:textId="77777777" w:rsidR="00214C83" w:rsidRPr="004A6EC3" w:rsidRDefault="00214C83" w:rsidP="004A6EC3">
      <w:pPr>
        <w:jc w:val="both"/>
        <w:rPr>
          <w:rFonts w:ascii="Verdana" w:hAnsi="Verdana"/>
          <w:sz w:val="20"/>
        </w:rPr>
      </w:pPr>
    </w:p>
    <w:p w14:paraId="2E0765B8" w14:textId="77777777" w:rsidR="00214C83" w:rsidRPr="004A6EC3" w:rsidRDefault="00214C83" w:rsidP="004A6EC3">
      <w:pPr>
        <w:jc w:val="both"/>
        <w:outlineLvl w:val="0"/>
        <w:rPr>
          <w:rFonts w:ascii="Verdana" w:hAnsi="Verdana"/>
          <w:sz w:val="20"/>
          <w:lang w:val="nl-BE"/>
        </w:rPr>
      </w:pPr>
      <w:r w:rsidRPr="004A6EC3">
        <w:rPr>
          <w:rFonts w:ascii="Verdana" w:hAnsi="Verdana"/>
          <w:b/>
          <w:smallCaps/>
          <w:sz w:val="20"/>
          <w:lang w:val="nl-BE"/>
        </w:rPr>
        <w:t>antwoord</w:t>
      </w:r>
    </w:p>
    <w:p w14:paraId="6CD6052E" w14:textId="77777777" w:rsidR="00214C83" w:rsidRPr="004A6EC3" w:rsidRDefault="00214C83" w:rsidP="004A6EC3">
      <w:pPr>
        <w:jc w:val="both"/>
        <w:outlineLvl w:val="0"/>
        <w:rPr>
          <w:rFonts w:ascii="Verdana" w:hAnsi="Verdana"/>
          <w:sz w:val="20"/>
        </w:rPr>
      </w:pPr>
      <w:r w:rsidRPr="004A6EC3">
        <w:rPr>
          <w:rFonts w:ascii="Verdana" w:hAnsi="Verdana"/>
          <w:sz w:val="20"/>
        </w:rPr>
        <w:t>op vraag nr. 10 van 29 september 2022</w:t>
      </w:r>
    </w:p>
    <w:p w14:paraId="69919E89" w14:textId="77777777" w:rsidR="00214C83" w:rsidRPr="004A6EC3" w:rsidRDefault="00214C83" w:rsidP="004A6EC3">
      <w:pPr>
        <w:jc w:val="both"/>
        <w:rPr>
          <w:rFonts w:ascii="Verdana" w:hAnsi="Verdana"/>
          <w:b/>
          <w:sz w:val="20"/>
        </w:rPr>
      </w:pPr>
      <w:r w:rsidRPr="004A6EC3">
        <w:rPr>
          <w:rFonts w:ascii="Verdana" w:hAnsi="Verdana"/>
          <w:sz w:val="20"/>
        </w:rPr>
        <w:t xml:space="preserve">van </w:t>
      </w:r>
      <w:r w:rsidRPr="004A6EC3">
        <w:rPr>
          <w:rFonts w:ascii="Verdana" w:hAnsi="Verdana"/>
          <w:b/>
          <w:smallCaps/>
          <w:sz w:val="20"/>
        </w:rPr>
        <w:t>anke van dermeersch</w:t>
      </w:r>
    </w:p>
    <w:p w14:paraId="127BCC1B" w14:textId="77777777" w:rsidR="00214C83" w:rsidRPr="004A6EC3" w:rsidRDefault="00214C83" w:rsidP="004A6EC3">
      <w:pPr>
        <w:pBdr>
          <w:bottom w:val="single" w:sz="4" w:space="1" w:color="auto"/>
        </w:pBdr>
        <w:jc w:val="both"/>
        <w:rPr>
          <w:rFonts w:ascii="Verdana" w:hAnsi="Verdana"/>
          <w:sz w:val="20"/>
        </w:rPr>
      </w:pPr>
    </w:p>
    <w:p w14:paraId="3251F596" w14:textId="77777777" w:rsidR="00214C83" w:rsidRPr="004A6EC3" w:rsidRDefault="00214C83" w:rsidP="004A6EC3">
      <w:pPr>
        <w:pStyle w:val="StandaardSV"/>
        <w:rPr>
          <w:rFonts w:ascii="Verdana" w:hAnsi="Verdana"/>
          <w:sz w:val="20"/>
        </w:rPr>
      </w:pPr>
    </w:p>
    <w:p w14:paraId="0D4743CD" w14:textId="77777777" w:rsidR="00214C83" w:rsidRPr="004A6EC3" w:rsidRDefault="00214C83" w:rsidP="004A6EC3">
      <w:pPr>
        <w:pStyle w:val="StandaardSV"/>
        <w:rPr>
          <w:rFonts w:ascii="Verdana" w:hAnsi="Verdana"/>
          <w:sz w:val="20"/>
        </w:rPr>
      </w:pPr>
    </w:p>
    <w:p w14:paraId="03C61FC0" w14:textId="77777777" w:rsidR="00032790" w:rsidRPr="004A6EC3" w:rsidRDefault="00032790" w:rsidP="004A6EC3">
      <w:pPr>
        <w:numPr>
          <w:ilvl w:val="0"/>
          <w:numId w:val="46"/>
        </w:numPr>
        <w:tabs>
          <w:tab w:val="left" w:pos="284"/>
        </w:tabs>
        <w:ind w:left="284" w:hanging="284"/>
        <w:contextualSpacing/>
        <w:jc w:val="both"/>
        <w:rPr>
          <w:rFonts w:ascii="Verdana" w:eastAsiaTheme="minorHAnsi" w:hAnsi="Verdana" w:cstheme="minorBidi"/>
          <w:sz w:val="20"/>
        </w:rPr>
      </w:pPr>
      <w:r w:rsidRPr="004A6EC3">
        <w:rPr>
          <w:rFonts w:ascii="Verdana" w:eastAsia="Verdana" w:hAnsi="Verdana" w:cstheme="minorBidi"/>
          <w:sz w:val="20"/>
          <w:lang w:val="nl-BE"/>
        </w:rPr>
        <w:t xml:space="preserve">Vooreerst wijs ik u er graag op dat elke subsidie die wij toekennen aan een organisatie het nastreven van doelstellingen veronderstelt. Bovendien moet er door de begunstigde organisatie gerapporteerd worden over de vooruitgang met betrekking tot deze doelstellingen. Elk dossier vereist dus een tegenprestatie. </w:t>
      </w:r>
    </w:p>
    <w:p w14:paraId="62BCC750" w14:textId="77777777" w:rsidR="00032790" w:rsidRPr="004A6EC3" w:rsidRDefault="00032790" w:rsidP="004A6EC3">
      <w:pPr>
        <w:tabs>
          <w:tab w:val="left" w:pos="284"/>
        </w:tabs>
        <w:ind w:left="284"/>
        <w:contextualSpacing/>
        <w:jc w:val="both"/>
        <w:rPr>
          <w:rFonts w:ascii="Verdana" w:eastAsia="Verdana" w:hAnsi="Verdana" w:cstheme="minorBidi"/>
          <w:sz w:val="20"/>
        </w:rPr>
      </w:pPr>
    </w:p>
    <w:p w14:paraId="7F373B99" w14:textId="77777777" w:rsidR="00032790" w:rsidRPr="004A6EC3" w:rsidRDefault="00032790" w:rsidP="004A6EC3">
      <w:pPr>
        <w:tabs>
          <w:tab w:val="left" w:pos="284"/>
        </w:tabs>
        <w:ind w:left="284"/>
        <w:contextualSpacing/>
        <w:jc w:val="both"/>
        <w:rPr>
          <w:rFonts w:ascii="Verdana" w:hAnsi="Verdana" w:cstheme="minorBidi"/>
          <w:sz w:val="20"/>
        </w:rPr>
      </w:pPr>
      <w:r w:rsidRPr="004A6EC3">
        <w:rPr>
          <w:rFonts w:ascii="Verdana" w:eastAsia="Verdana" w:hAnsi="Verdana" w:cstheme="minorBidi"/>
          <w:sz w:val="20"/>
          <w:lang w:val="nl-BE"/>
        </w:rPr>
        <w:t>U vindt de gevraagde gegevens in bijlage.</w:t>
      </w:r>
    </w:p>
    <w:p w14:paraId="04F6603C" w14:textId="77777777" w:rsidR="00032790" w:rsidRPr="004A6EC3" w:rsidRDefault="00032790" w:rsidP="004A6EC3">
      <w:pPr>
        <w:tabs>
          <w:tab w:val="left" w:pos="284"/>
          <w:tab w:val="left" w:pos="851"/>
        </w:tabs>
        <w:ind w:left="284"/>
        <w:contextualSpacing/>
        <w:jc w:val="both"/>
        <w:rPr>
          <w:rFonts w:ascii="Verdana" w:eastAsiaTheme="minorHAnsi" w:hAnsi="Verdana" w:cstheme="minorBidi"/>
          <w:sz w:val="20"/>
        </w:rPr>
      </w:pPr>
    </w:p>
    <w:p w14:paraId="1564B289" w14:textId="685DDD95" w:rsidR="00032790" w:rsidRPr="004A6EC3" w:rsidRDefault="00032790" w:rsidP="004A6EC3">
      <w:pPr>
        <w:tabs>
          <w:tab w:val="left" w:pos="284"/>
          <w:tab w:val="left" w:pos="426"/>
        </w:tabs>
        <w:ind w:left="284" w:hanging="284"/>
        <w:jc w:val="both"/>
        <w:rPr>
          <w:rFonts w:ascii="Verdana" w:hAnsi="Verdana"/>
          <w:sz w:val="20"/>
        </w:rPr>
      </w:pPr>
      <w:r w:rsidRPr="004A6EC3">
        <w:rPr>
          <w:rFonts w:ascii="Verdana" w:hAnsi="Verdana"/>
          <w:sz w:val="20"/>
        </w:rPr>
        <w:t>2.</w:t>
      </w:r>
      <w:r w:rsidR="004A6EC3">
        <w:rPr>
          <w:rFonts w:ascii="Verdana" w:hAnsi="Verdana"/>
          <w:sz w:val="20"/>
        </w:rPr>
        <w:tab/>
      </w:r>
      <w:r w:rsidRPr="004A6EC3">
        <w:rPr>
          <w:rFonts w:ascii="Verdana" w:hAnsi="Verdana"/>
          <w:sz w:val="20"/>
        </w:rPr>
        <w:t xml:space="preserve">Uit de bijlage kan u eveneens telkens aflezen of het werkingssubsidies dan wel projectsubsidies betreft. </w:t>
      </w:r>
      <w:r w:rsidRPr="004A6EC3">
        <w:rPr>
          <w:rFonts w:ascii="Verdana" w:hAnsi="Verdana"/>
          <w:sz w:val="20"/>
        </w:rPr>
        <w:tab/>
      </w:r>
    </w:p>
    <w:p w14:paraId="5321E6BE" w14:textId="77777777" w:rsidR="00032790" w:rsidRPr="004A6EC3" w:rsidRDefault="00032790" w:rsidP="004A6EC3">
      <w:pPr>
        <w:tabs>
          <w:tab w:val="left" w:pos="567"/>
        </w:tabs>
        <w:ind w:left="567" w:hanging="567"/>
        <w:jc w:val="both"/>
        <w:rPr>
          <w:rFonts w:ascii="Verdana" w:hAnsi="Verdana"/>
          <w:sz w:val="20"/>
        </w:rPr>
      </w:pPr>
    </w:p>
    <w:p w14:paraId="569DF0F9" w14:textId="231BA91D" w:rsidR="00032790" w:rsidRPr="004A6EC3" w:rsidRDefault="00032790" w:rsidP="004A6EC3">
      <w:pPr>
        <w:ind w:left="284" w:hanging="284"/>
        <w:jc w:val="both"/>
        <w:rPr>
          <w:rFonts w:ascii="Verdana" w:hAnsi="Verdana"/>
          <w:sz w:val="20"/>
        </w:rPr>
      </w:pPr>
      <w:r w:rsidRPr="004A6EC3">
        <w:rPr>
          <w:rFonts w:ascii="Verdana" w:hAnsi="Verdana"/>
          <w:sz w:val="20"/>
        </w:rPr>
        <w:t>3.</w:t>
      </w:r>
      <w:r w:rsidR="004A6EC3">
        <w:rPr>
          <w:rFonts w:ascii="Verdana" w:hAnsi="Verdana"/>
          <w:sz w:val="20"/>
        </w:rPr>
        <w:tab/>
      </w:r>
      <w:r w:rsidRPr="004A6EC3">
        <w:rPr>
          <w:rFonts w:ascii="Verdana" w:eastAsia="Verdana" w:hAnsi="Verdana"/>
          <w:sz w:val="20"/>
          <w:lang w:val="nl-BE"/>
        </w:rPr>
        <w:t xml:space="preserve">De te verwachten tegenprestatie is opgenomen in het projectvoorstel, alsook in de programma-overeenkomst. Deze tegenprestaties blijken ook uit het corresponderende besluit van de Vlaamse Regering of uit het overeenkomstige ministerieel besluit. De uitgaven van de organisatie worden getoetst aan deze verwachte tegenprestaties. De uitvoering van het project en de voortgang bij het bereiken van de te verwachten resultaten worden nauwkeurig opgevolgd, zowel door mijn diensten in Brussel als in de partnerlanden zelf. </w:t>
      </w:r>
    </w:p>
    <w:p w14:paraId="04325428" w14:textId="77777777" w:rsidR="00032790" w:rsidRPr="004A6EC3" w:rsidRDefault="00032790" w:rsidP="004A6EC3">
      <w:pPr>
        <w:ind w:left="567" w:hanging="567"/>
        <w:jc w:val="both"/>
        <w:rPr>
          <w:rFonts w:ascii="Verdana" w:hAnsi="Verdana"/>
          <w:sz w:val="20"/>
        </w:rPr>
      </w:pPr>
      <w:r w:rsidRPr="004A6EC3">
        <w:rPr>
          <w:rFonts w:ascii="Verdana" w:hAnsi="Verdana"/>
          <w:sz w:val="20"/>
        </w:rPr>
        <w:tab/>
      </w:r>
    </w:p>
    <w:p w14:paraId="19D331E3" w14:textId="5CD91B51" w:rsidR="00032790" w:rsidRPr="004A6EC3" w:rsidRDefault="00032790" w:rsidP="004A6EC3">
      <w:pPr>
        <w:ind w:left="284" w:hanging="284"/>
        <w:jc w:val="both"/>
        <w:rPr>
          <w:rFonts w:ascii="Verdana" w:hAnsi="Verdana" w:cs="Calibri"/>
          <w:color w:val="000000"/>
          <w:sz w:val="20"/>
          <w:lang w:val="nl-BE" w:eastAsia="nl-BE"/>
        </w:rPr>
      </w:pPr>
      <w:r w:rsidRPr="004A6EC3">
        <w:rPr>
          <w:rFonts w:ascii="Verdana" w:hAnsi="Verdana"/>
          <w:sz w:val="20"/>
        </w:rPr>
        <w:t>4.</w:t>
      </w:r>
      <w:r w:rsidR="004A6EC3">
        <w:rPr>
          <w:rFonts w:ascii="Verdana" w:hAnsi="Verdana"/>
          <w:sz w:val="20"/>
        </w:rPr>
        <w:tab/>
      </w:r>
      <w:r w:rsidRPr="004A6EC3">
        <w:rPr>
          <w:rFonts w:ascii="Verdana" w:hAnsi="Verdana" w:cs="Calibri"/>
          <w:color w:val="000000"/>
          <w:sz w:val="20"/>
          <w:lang w:val="nl-BE" w:eastAsia="nl-BE"/>
        </w:rPr>
        <w:t>In 2021 zijn volgende twee terugvorderingen uitgevoerd:</w:t>
      </w:r>
    </w:p>
    <w:p w14:paraId="562DA383" w14:textId="77777777" w:rsidR="00032790" w:rsidRPr="004A6EC3" w:rsidRDefault="00032790" w:rsidP="004A6EC3">
      <w:pPr>
        <w:ind w:left="567" w:hanging="567"/>
        <w:jc w:val="both"/>
        <w:rPr>
          <w:rFonts w:ascii="Verdana" w:hAnsi="Verdana"/>
          <w:sz w:val="20"/>
          <w:lang w:val="nl-BE"/>
        </w:rPr>
      </w:pPr>
    </w:p>
    <w:p w14:paraId="2FE6AE75" w14:textId="77777777" w:rsidR="00032790" w:rsidRPr="004A6EC3" w:rsidRDefault="00032790" w:rsidP="004A6EC3">
      <w:pPr>
        <w:numPr>
          <w:ilvl w:val="0"/>
          <w:numId w:val="47"/>
        </w:numPr>
        <w:tabs>
          <w:tab w:val="left" w:pos="708"/>
        </w:tabs>
        <w:jc w:val="both"/>
        <w:rPr>
          <w:rFonts w:ascii="Verdana" w:eastAsiaTheme="minorHAnsi" w:hAnsi="Verdana" w:cs="Calibri"/>
          <w:color w:val="000000"/>
          <w:sz w:val="20"/>
          <w:lang w:val="nl-BE" w:eastAsia="nl-BE"/>
        </w:rPr>
      </w:pPr>
      <w:r w:rsidRPr="004A6EC3">
        <w:rPr>
          <w:rFonts w:ascii="Verdana" w:eastAsiaTheme="minorHAnsi" w:hAnsi="Verdana" w:cs="Calibri"/>
          <w:color w:val="000000"/>
          <w:sz w:val="20"/>
          <w:lang w:val="nl-BE" w:eastAsia="nl-BE"/>
        </w:rPr>
        <w:t xml:space="preserve">Van het programma Scholenbanden (VVOB) werd 54.199,13 EUR teruggevorderd. </w:t>
      </w:r>
    </w:p>
    <w:p w14:paraId="3FBF9E7D" w14:textId="77777777" w:rsidR="00032790" w:rsidRPr="004A6EC3" w:rsidRDefault="00032790" w:rsidP="004A6EC3">
      <w:pPr>
        <w:numPr>
          <w:ilvl w:val="0"/>
          <w:numId w:val="47"/>
        </w:numPr>
        <w:tabs>
          <w:tab w:val="left" w:pos="708"/>
        </w:tabs>
        <w:jc w:val="both"/>
        <w:rPr>
          <w:rFonts w:ascii="Verdana" w:eastAsia="Verdana" w:hAnsi="Verdana"/>
          <w:sz w:val="20"/>
          <w:lang w:val="nl-BE"/>
        </w:rPr>
      </w:pPr>
      <w:r w:rsidRPr="004A6EC3">
        <w:rPr>
          <w:rFonts w:ascii="Verdana" w:eastAsiaTheme="minorHAnsi" w:hAnsi="Verdana" w:cs="Calibri"/>
          <w:color w:val="000000"/>
          <w:sz w:val="20"/>
          <w:lang w:val="nl-BE" w:eastAsia="nl-BE"/>
        </w:rPr>
        <w:t xml:space="preserve">Van de technische assistentie ter versterking van de dienst voor aanbestedingen van het Malawische ministerie van Gezondheid (Malawi </w:t>
      </w:r>
      <w:proofErr w:type="spellStart"/>
      <w:r w:rsidRPr="004A6EC3">
        <w:rPr>
          <w:rFonts w:ascii="Verdana" w:eastAsiaTheme="minorHAnsi" w:hAnsi="Verdana" w:cs="Calibri"/>
          <w:sz w:val="20"/>
          <w:lang w:val="nl-BE" w:eastAsia="nl-BE"/>
        </w:rPr>
        <w:t>Department</w:t>
      </w:r>
      <w:proofErr w:type="spellEnd"/>
      <w:r w:rsidRPr="004A6EC3">
        <w:rPr>
          <w:rFonts w:ascii="Verdana" w:eastAsiaTheme="minorHAnsi" w:hAnsi="Verdana" w:cs="Calibri"/>
          <w:sz w:val="20"/>
          <w:lang w:val="nl-BE" w:eastAsia="nl-BE"/>
        </w:rPr>
        <w:t xml:space="preserve"> </w:t>
      </w:r>
      <w:proofErr w:type="spellStart"/>
      <w:r w:rsidRPr="004A6EC3">
        <w:rPr>
          <w:rFonts w:ascii="Verdana" w:eastAsiaTheme="minorHAnsi" w:hAnsi="Verdana" w:cs="Calibri"/>
          <w:sz w:val="20"/>
          <w:lang w:val="nl-BE" w:eastAsia="nl-BE"/>
        </w:rPr>
        <w:t>for</w:t>
      </w:r>
      <w:proofErr w:type="spellEnd"/>
      <w:r w:rsidRPr="004A6EC3">
        <w:rPr>
          <w:rFonts w:ascii="Verdana" w:eastAsiaTheme="minorHAnsi" w:hAnsi="Verdana" w:cs="Calibri"/>
          <w:sz w:val="20"/>
          <w:lang w:val="nl-BE" w:eastAsia="nl-BE"/>
        </w:rPr>
        <w:t xml:space="preserve"> International Development) vorderden we </w:t>
      </w:r>
      <w:r w:rsidRPr="004A6EC3">
        <w:rPr>
          <w:rFonts w:ascii="Verdana" w:eastAsiaTheme="minorHAnsi" w:hAnsi="Verdana" w:cs="Calibri"/>
          <w:color w:val="000000"/>
          <w:sz w:val="20"/>
          <w:lang w:val="nl-BE" w:eastAsia="nl-BE"/>
        </w:rPr>
        <w:t>3.715,57 EUR terug.</w:t>
      </w:r>
    </w:p>
    <w:p w14:paraId="352FEF09" w14:textId="77777777" w:rsidR="00032790" w:rsidRPr="004A6EC3" w:rsidRDefault="00032790" w:rsidP="004A6EC3">
      <w:pPr>
        <w:tabs>
          <w:tab w:val="left" w:pos="708"/>
        </w:tabs>
        <w:ind w:left="425" w:hanging="425"/>
        <w:jc w:val="both"/>
        <w:rPr>
          <w:rFonts w:ascii="Verdana" w:hAnsi="Verdana" w:cs="Calibri"/>
          <w:color w:val="000000"/>
          <w:sz w:val="20"/>
          <w:lang w:val="nl-BE" w:eastAsia="nl-BE"/>
        </w:rPr>
      </w:pPr>
    </w:p>
    <w:p w14:paraId="0AF20D01" w14:textId="6DB9C2B8" w:rsidR="00032790" w:rsidRPr="004A6EC3" w:rsidRDefault="00032790" w:rsidP="004A6EC3">
      <w:pPr>
        <w:tabs>
          <w:tab w:val="left" w:pos="284"/>
        </w:tabs>
        <w:ind w:left="284" w:hanging="284"/>
        <w:jc w:val="both"/>
        <w:rPr>
          <w:rFonts w:ascii="Verdana" w:hAnsi="Verdana" w:cs="Arial"/>
          <w:sz w:val="20"/>
          <w:lang w:val="nl-BE"/>
        </w:rPr>
      </w:pPr>
      <w:r w:rsidRPr="004A6EC3">
        <w:rPr>
          <w:rFonts w:ascii="Verdana" w:hAnsi="Verdana"/>
          <w:sz w:val="20"/>
        </w:rPr>
        <w:t>5.</w:t>
      </w:r>
      <w:r w:rsidR="004A6EC3">
        <w:rPr>
          <w:rFonts w:ascii="Verdana" w:hAnsi="Verdana"/>
          <w:sz w:val="20"/>
        </w:rPr>
        <w:tab/>
      </w:r>
      <w:r w:rsidRPr="004A6EC3">
        <w:rPr>
          <w:rFonts w:ascii="Verdana" w:eastAsia="Verdana" w:hAnsi="Verdana"/>
          <w:sz w:val="20"/>
          <w:lang w:val="nl-BE"/>
        </w:rPr>
        <w:t>In 2021 werden twee uitbetalingen uitgevoerd aan Wereldmediahuis:</w:t>
      </w:r>
    </w:p>
    <w:p w14:paraId="02E9A5F3" w14:textId="77777777" w:rsidR="00032790" w:rsidRPr="004A6EC3" w:rsidRDefault="00032790" w:rsidP="004A6EC3">
      <w:pPr>
        <w:ind w:left="567" w:hanging="567"/>
        <w:jc w:val="both"/>
        <w:rPr>
          <w:rFonts w:ascii="Verdana" w:eastAsia="Verdana" w:hAnsi="Verdana"/>
          <w:sz w:val="20"/>
          <w:lang w:val="nl-BE"/>
        </w:rPr>
      </w:pPr>
    </w:p>
    <w:p w14:paraId="589012CC" w14:textId="77777777" w:rsidR="00032790" w:rsidRPr="004A6EC3" w:rsidRDefault="00032790" w:rsidP="004A6EC3">
      <w:pPr>
        <w:numPr>
          <w:ilvl w:val="0"/>
          <w:numId w:val="48"/>
        </w:numPr>
        <w:contextualSpacing/>
        <w:jc w:val="both"/>
        <w:rPr>
          <w:rFonts w:ascii="Verdana" w:hAnsi="Verdana" w:cstheme="minorBidi"/>
          <w:sz w:val="20"/>
        </w:rPr>
      </w:pPr>
      <w:r w:rsidRPr="004A6EC3">
        <w:rPr>
          <w:rFonts w:ascii="Verdana" w:eastAsiaTheme="minorHAnsi" w:hAnsi="Verdana" w:cstheme="minorBidi"/>
          <w:sz w:val="20"/>
          <w:lang w:val="nl-BE"/>
        </w:rPr>
        <w:t>43.200 EUR als saldo van de werkingssubsidie 2020 (vastlegging van 216.000 EUR in 2020).</w:t>
      </w:r>
    </w:p>
    <w:p w14:paraId="2A2E0CCE" w14:textId="77777777" w:rsidR="00032790" w:rsidRPr="004A6EC3" w:rsidRDefault="00032790" w:rsidP="004A6EC3">
      <w:pPr>
        <w:numPr>
          <w:ilvl w:val="0"/>
          <w:numId w:val="48"/>
        </w:numPr>
        <w:contextualSpacing/>
        <w:jc w:val="both"/>
        <w:rPr>
          <w:rFonts w:ascii="Verdana" w:eastAsiaTheme="minorHAnsi" w:hAnsi="Verdana" w:cstheme="minorBidi"/>
          <w:sz w:val="20"/>
        </w:rPr>
      </w:pPr>
      <w:r w:rsidRPr="004A6EC3">
        <w:rPr>
          <w:rFonts w:ascii="Verdana" w:eastAsiaTheme="minorHAnsi" w:hAnsi="Verdana" w:cstheme="minorBidi"/>
          <w:sz w:val="20"/>
          <w:lang w:val="nl-BE"/>
        </w:rPr>
        <w:t xml:space="preserve">172.800 EUR als eerste schijf van de werkingssubsidie 2021 (vastlegging van 216.000 EUR in 2021). </w:t>
      </w:r>
    </w:p>
    <w:p w14:paraId="43AE0C82" w14:textId="77777777" w:rsidR="00032790" w:rsidRPr="004A6EC3" w:rsidRDefault="00032790" w:rsidP="004A6EC3">
      <w:pPr>
        <w:ind w:left="567" w:hanging="567"/>
        <w:jc w:val="both"/>
        <w:rPr>
          <w:rFonts w:ascii="Verdana" w:hAnsi="Verdana"/>
          <w:sz w:val="20"/>
        </w:rPr>
      </w:pPr>
    </w:p>
    <w:p w14:paraId="0722B09F" w14:textId="77777777" w:rsidR="00032790" w:rsidRPr="004A6EC3" w:rsidRDefault="00032790" w:rsidP="004A6EC3">
      <w:pPr>
        <w:jc w:val="both"/>
        <w:rPr>
          <w:rFonts w:ascii="Verdana" w:hAnsi="Verdana"/>
          <w:b/>
          <w:smallCaps/>
          <w:color w:val="FF0000"/>
          <w:sz w:val="20"/>
          <w:u w:val="single"/>
        </w:rPr>
      </w:pPr>
      <w:r w:rsidRPr="004A6EC3">
        <w:rPr>
          <w:rFonts w:ascii="Verdana" w:hAnsi="Verdana"/>
          <w:b/>
          <w:smallCaps/>
          <w:color w:val="FF0000"/>
          <w:sz w:val="20"/>
          <w:u w:val="single"/>
        </w:rPr>
        <w:t>bijlage</w:t>
      </w:r>
    </w:p>
    <w:p w14:paraId="58DE6B9F" w14:textId="77777777" w:rsidR="00032790" w:rsidRPr="004A6EC3" w:rsidRDefault="00032790" w:rsidP="004A6EC3">
      <w:pPr>
        <w:ind w:left="567" w:hanging="567"/>
        <w:jc w:val="both"/>
        <w:rPr>
          <w:rFonts w:ascii="Verdana" w:hAnsi="Verdana"/>
          <w:sz w:val="20"/>
        </w:rPr>
      </w:pPr>
    </w:p>
    <w:p w14:paraId="67D3A4E0" w14:textId="60AFC074" w:rsidR="00032790" w:rsidRPr="004A6EC3" w:rsidRDefault="00032790" w:rsidP="004A6EC3">
      <w:pPr>
        <w:ind w:left="567" w:hanging="567"/>
        <w:jc w:val="both"/>
        <w:rPr>
          <w:rFonts w:ascii="Verdana" w:hAnsi="Verdana"/>
          <w:sz w:val="20"/>
        </w:rPr>
      </w:pPr>
      <w:r w:rsidRPr="004A6EC3">
        <w:rPr>
          <w:rFonts w:ascii="Verdana" w:hAnsi="Verdana"/>
          <w:sz w:val="20"/>
        </w:rPr>
        <w:t>Bestedingen 2021</w:t>
      </w:r>
    </w:p>
    <w:sectPr w:rsidR="00032790" w:rsidRPr="004A6E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59B1"/>
    <w:multiLevelType w:val="hybridMultilevel"/>
    <w:tmpl w:val="394EE43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25EF0CDC"/>
    <w:multiLevelType w:val="hybridMultilevel"/>
    <w:tmpl w:val="540E2644"/>
    <w:lvl w:ilvl="0" w:tplc="08130001">
      <w:start w:val="1"/>
      <w:numFmt w:val="bullet"/>
      <w:lvlText w:val=""/>
      <w:lvlJc w:val="left"/>
      <w:pPr>
        <w:ind w:left="644" w:hanging="360"/>
      </w:pPr>
      <w:rPr>
        <w:rFonts w:ascii="Symbol" w:hAnsi="Symbol" w:hint="default"/>
      </w:rPr>
    </w:lvl>
    <w:lvl w:ilvl="1" w:tplc="08130003">
      <w:start w:val="1"/>
      <w:numFmt w:val="bullet"/>
      <w:lvlText w:val="o"/>
      <w:lvlJc w:val="left"/>
      <w:pPr>
        <w:ind w:left="1364" w:hanging="360"/>
      </w:pPr>
      <w:rPr>
        <w:rFonts w:ascii="Courier New" w:hAnsi="Courier New" w:cs="Courier New" w:hint="default"/>
      </w:rPr>
    </w:lvl>
    <w:lvl w:ilvl="2" w:tplc="08130005">
      <w:start w:val="1"/>
      <w:numFmt w:val="bullet"/>
      <w:lvlText w:val=""/>
      <w:lvlJc w:val="left"/>
      <w:pPr>
        <w:ind w:left="2084" w:hanging="360"/>
      </w:pPr>
      <w:rPr>
        <w:rFonts w:ascii="Wingdings" w:hAnsi="Wingdings" w:hint="default"/>
      </w:rPr>
    </w:lvl>
    <w:lvl w:ilvl="3" w:tplc="08130001">
      <w:start w:val="1"/>
      <w:numFmt w:val="bullet"/>
      <w:lvlText w:val=""/>
      <w:lvlJc w:val="left"/>
      <w:pPr>
        <w:ind w:left="2804" w:hanging="360"/>
      </w:pPr>
      <w:rPr>
        <w:rFonts w:ascii="Symbol" w:hAnsi="Symbol" w:hint="default"/>
      </w:rPr>
    </w:lvl>
    <w:lvl w:ilvl="4" w:tplc="08130003">
      <w:start w:val="1"/>
      <w:numFmt w:val="bullet"/>
      <w:lvlText w:val="o"/>
      <w:lvlJc w:val="left"/>
      <w:pPr>
        <w:ind w:left="3524" w:hanging="360"/>
      </w:pPr>
      <w:rPr>
        <w:rFonts w:ascii="Courier New" w:hAnsi="Courier New" w:cs="Courier New" w:hint="default"/>
      </w:rPr>
    </w:lvl>
    <w:lvl w:ilvl="5" w:tplc="08130005">
      <w:start w:val="1"/>
      <w:numFmt w:val="bullet"/>
      <w:lvlText w:val=""/>
      <w:lvlJc w:val="left"/>
      <w:pPr>
        <w:ind w:left="4244" w:hanging="360"/>
      </w:pPr>
      <w:rPr>
        <w:rFonts w:ascii="Wingdings" w:hAnsi="Wingdings" w:hint="default"/>
      </w:rPr>
    </w:lvl>
    <w:lvl w:ilvl="6" w:tplc="08130001">
      <w:start w:val="1"/>
      <w:numFmt w:val="bullet"/>
      <w:lvlText w:val=""/>
      <w:lvlJc w:val="left"/>
      <w:pPr>
        <w:ind w:left="4964" w:hanging="360"/>
      </w:pPr>
      <w:rPr>
        <w:rFonts w:ascii="Symbol" w:hAnsi="Symbol" w:hint="default"/>
      </w:rPr>
    </w:lvl>
    <w:lvl w:ilvl="7" w:tplc="08130003">
      <w:start w:val="1"/>
      <w:numFmt w:val="bullet"/>
      <w:lvlText w:val="o"/>
      <w:lvlJc w:val="left"/>
      <w:pPr>
        <w:ind w:left="5684" w:hanging="360"/>
      </w:pPr>
      <w:rPr>
        <w:rFonts w:ascii="Courier New" w:hAnsi="Courier New" w:cs="Courier New" w:hint="default"/>
      </w:rPr>
    </w:lvl>
    <w:lvl w:ilvl="8" w:tplc="08130005">
      <w:start w:val="1"/>
      <w:numFmt w:val="bullet"/>
      <w:lvlText w:val=""/>
      <w:lvlJc w:val="left"/>
      <w:pPr>
        <w:ind w:left="6404" w:hanging="360"/>
      </w:pPr>
      <w:rPr>
        <w:rFonts w:ascii="Wingdings" w:hAnsi="Wingdings" w:hint="default"/>
      </w:rPr>
    </w:lvl>
  </w:abstractNum>
  <w:abstractNum w:abstractNumId="2" w15:restartNumberingAfterBreak="0">
    <w:nsid w:val="35DE4D9B"/>
    <w:multiLevelType w:val="hybridMultilevel"/>
    <w:tmpl w:val="B484A62E"/>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3"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pPr>
        <w:tabs>
          <w:tab w:val="num" w:pos="432"/>
        </w:tabs>
        <w:ind w:left="431" w:hanging="431"/>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432"/>
        </w:tabs>
        <w:ind w:left="431" w:hanging="4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847519313">
    <w:abstractNumId w:val="3"/>
  </w:num>
  <w:num w:numId="2" w16cid:durableId="1076174559">
    <w:abstractNumId w:val="3"/>
  </w:num>
  <w:num w:numId="3" w16cid:durableId="1580796610">
    <w:abstractNumId w:val="3"/>
  </w:num>
  <w:num w:numId="4" w16cid:durableId="360085780">
    <w:abstractNumId w:val="3"/>
  </w:num>
  <w:num w:numId="5" w16cid:durableId="2054111292">
    <w:abstractNumId w:val="3"/>
  </w:num>
  <w:num w:numId="6" w16cid:durableId="851604975">
    <w:abstractNumId w:val="3"/>
  </w:num>
  <w:num w:numId="7" w16cid:durableId="377702765">
    <w:abstractNumId w:val="3"/>
  </w:num>
  <w:num w:numId="8" w16cid:durableId="1632785159">
    <w:abstractNumId w:val="3"/>
  </w:num>
  <w:num w:numId="9" w16cid:durableId="790823736">
    <w:abstractNumId w:val="3"/>
  </w:num>
  <w:num w:numId="10" w16cid:durableId="13865">
    <w:abstractNumId w:val="3"/>
  </w:num>
  <w:num w:numId="11" w16cid:durableId="1878277188">
    <w:abstractNumId w:val="3"/>
  </w:num>
  <w:num w:numId="12" w16cid:durableId="507985466">
    <w:abstractNumId w:val="3"/>
  </w:num>
  <w:num w:numId="13" w16cid:durableId="243612561">
    <w:abstractNumId w:val="3"/>
  </w:num>
  <w:num w:numId="14" w16cid:durableId="416102632">
    <w:abstractNumId w:val="3"/>
  </w:num>
  <w:num w:numId="15" w16cid:durableId="1775592550">
    <w:abstractNumId w:val="3"/>
  </w:num>
  <w:num w:numId="16" w16cid:durableId="1927224335">
    <w:abstractNumId w:val="3"/>
  </w:num>
  <w:num w:numId="17" w16cid:durableId="1503544011">
    <w:abstractNumId w:val="3"/>
  </w:num>
  <w:num w:numId="18" w16cid:durableId="1676768198">
    <w:abstractNumId w:val="3"/>
  </w:num>
  <w:num w:numId="19" w16cid:durableId="1266571294">
    <w:abstractNumId w:val="3"/>
  </w:num>
  <w:num w:numId="20" w16cid:durableId="1416123385">
    <w:abstractNumId w:val="3"/>
  </w:num>
  <w:num w:numId="21" w16cid:durableId="1883396520">
    <w:abstractNumId w:val="3"/>
  </w:num>
  <w:num w:numId="22" w16cid:durableId="83308084">
    <w:abstractNumId w:val="3"/>
  </w:num>
  <w:num w:numId="23" w16cid:durableId="1814830109">
    <w:abstractNumId w:val="3"/>
  </w:num>
  <w:num w:numId="24" w16cid:durableId="1999310317">
    <w:abstractNumId w:val="3"/>
  </w:num>
  <w:num w:numId="25" w16cid:durableId="635838379">
    <w:abstractNumId w:val="3"/>
  </w:num>
  <w:num w:numId="26" w16cid:durableId="1130899644">
    <w:abstractNumId w:val="3"/>
  </w:num>
  <w:num w:numId="27" w16cid:durableId="1941987309">
    <w:abstractNumId w:val="3"/>
  </w:num>
  <w:num w:numId="28" w16cid:durableId="30343279">
    <w:abstractNumId w:val="3"/>
  </w:num>
  <w:num w:numId="29" w16cid:durableId="2124033143">
    <w:abstractNumId w:val="3"/>
  </w:num>
  <w:num w:numId="30" w16cid:durableId="1829973479">
    <w:abstractNumId w:val="3"/>
  </w:num>
  <w:num w:numId="31" w16cid:durableId="563610898">
    <w:abstractNumId w:val="3"/>
  </w:num>
  <w:num w:numId="32" w16cid:durableId="913055316">
    <w:abstractNumId w:val="3"/>
  </w:num>
  <w:num w:numId="33" w16cid:durableId="1474785378">
    <w:abstractNumId w:val="3"/>
  </w:num>
  <w:num w:numId="34" w16cid:durableId="1699427258">
    <w:abstractNumId w:val="3"/>
  </w:num>
  <w:num w:numId="35" w16cid:durableId="880870781">
    <w:abstractNumId w:val="3"/>
  </w:num>
  <w:num w:numId="36" w16cid:durableId="2033846093">
    <w:abstractNumId w:val="3"/>
  </w:num>
  <w:num w:numId="37" w16cid:durableId="677661347">
    <w:abstractNumId w:val="3"/>
  </w:num>
  <w:num w:numId="38" w16cid:durableId="1151602660">
    <w:abstractNumId w:val="3"/>
  </w:num>
  <w:num w:numId="39" w16cid:durableId="1738698856">
    <w:abstractNumId w:val="3"/>
  </w:num>
  <w:num w:numId="40" w16cid:durableId="1216621714">
    <w:abstractNumId w:val="3"/>
  </w:num>
  <w:num w:numId="41" w16cid:durableId="890310094">
    <w:abstractNumId w:val="3"/>
  </w:num>
  <w:num w:numId="42" w16cid:durableId="1370498651">
    <w:abstractNumId w:val="3"/>
  </w:num>
  <w:num w:numId="43" w16cid:durableId="1971474991">
    <w:abstractNumId w:val="3"/>
  </w:num>
  <w:num w:numId="44" w16cid:durableId="642808171">
    <w:abstractNumId w:val="3"/>
  </w:num>
  <w:num w:numId="45" w16cid:durableId="1903979941">
    <w:abstractNumId w:val="3"/>
  </w:num>
  <w:num w:numId="46" w16cid:durableId="4660954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59169598">
    <w:abstractNumId w:val="1"/>
  </w:num>
  <w:num w:numId="48" w16cid:durableId="185021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C83"/>
    <w:rsid w:val="00032790"/>
    <w:rsid w:val="00214C83"/>
    <w:rsid w:val="0044462C"/>
    <w:rsid w:val="004A6EC3"/>
    <w:rsid w:val="007C11F4"/>
    <w:rsid w:val="00821058"/>
    <w:rsid w:val="00B63EBD"/>
    <w:rsid w:val="00DD500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66D3"/>
  <w15:docId w15:val="{D3B2CFD0-2F2B-4529-874F-6D12DB1A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6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283</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Nathalie De Keyzer</cp:lastModifiedBy>
  <cp:revision>3</cp:revision>
  <dcterms:created xsi:type="dcterms:W3CDTF">2014-07-01T11:03:00Z</dcterms:created>
  <dcterms:modified xsi:type="dcterms:W3CDTF">2022-11-03T08:05:00Z</dcterms:modified>
</cp:coreProperties>
</file>