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C447" w14:textId="5978ABF3" w:rsidR="000976E9" w:rsidRPr="00AE4255" w:rsidRDefault="009E6E6A" w:rsidP="00AE4255">
      <w:pPr>
        <w:pStyle w:val="A-NaamMinister"/>
        <w:jc w:val="both"/>
        <w:rPr>
          <w:rFonts w:ascii="Verdana" w:hAnsi="Verdana"/>
          <w:sz w:val="20"/>
          <w:szCs w:val="20"/>
        </w:rPr>
      </w:pPr>
      <w:proofErr w:type="spellStart"/>
      <w:r>
        <w:rPr>
          <w:rFonts w:ascii="Verdana" w:hAnsi="Verdana"/>
          <w:sz w:val="20"/>
          <w:szCs w:val="20"/>
        </w:rPr>
        <w:t>matthias</w:t>
      </w:r>
      <w:proofErr w:type="spellEnd"/>
      <w:r>
        <w:rPr>
          <w:rFonts w:ascii="Verdana" w:hAnsi="Verdana"/>
          <w:sz w:val="20"/>
          <w:szCs w:val="20"/>
        </w:rPr>
        <w:t xml:space="preserve"> </w:t>
      </w:r>
      <w:proofErr w:type="spellStart"/>
      <w:r>
        <w:rPr>
          <w:rFonts w:ascii="Verdana" w:hAnsi="Verdana"/>
          <w:sz w:val="20"/>
          <w:szCs w:val="20"/>
        </w:rPr>
        <w:t>diependaele</w:t>
      </w:r>
      <w:proofErr w:type="spellEnd"/>
    </w:p>
    <w:p w14:paraId="2F4DC905" w14:textId="75FE795B" w:rsidR="009E6E6A" w:rsidRPr="00AE4255" w:rsidRDefault="009E6E6A" w:rsidP="009E6E6A">
      <w:pPr>
        <w:pStyle w:val="A-TitelMinister"/>
        <w:jc w:val="both"/>
        <w:rPr>
          <w:rFonts w:ascii="Verdana" w:hAnsi="Verdana"/>
          <w:sz w:val="20"/>
          <w:szCs w:val="20"/>
        </w:rPr>
      </w:pPr>
      <w:proofErr w:type="spellStart"/>
      <w:r>
        <w:rPr>
          <w:rFonts w:ascii="Verdana" w:hAnsi="Verdana"/>
          <w:sz w:val="20"/>
          <w:szCs w:val="20"/>
        </w:rPr>
        <w:t>vlaams</w:t>
      </w:r>
      <w:proofErr w:type="spellEnd"/>
      <w:r>
        <w:rPr>
          <w:rFonts w:ascii="Verdana" w:hAnsi="Verdana"/>
          <w:sz w:val="20"/>
          <w:szCs w:val="20"/>
        </w:rPr>
        <w:t xml:space="preserve"> minister van financiën en begroting, wonen en onroerend erfgoed</w:t>
      </w:r>
    </w:p>
    <w:p w14:paraId="46A4C449" w14:textId="77777777" w:rsidR="000976E9" w:rsidRPr="009E6E6A" w:rsidRDefault="000976E9" w:rsidP="00AE4255">
      <w:pPr>
        <w:jc w:val="both"/>
        <w:rPr>
          <w:rFonts w:ascii="Verdana" w:hAnsi="Verdana"/>
          <w:sz w:val="20"/>
          <w:szCs w:val="20"/>
          <w:lang w:val="nl-BE"/>
        </w:rPr>
      </w:pPr>
    </w:p>
    <w:p w14:paraId="46A4C44A" w14:textId="77777777" w:rsidR="000976E9" w:rsidRPr="00AE4255" w:rsidRDefault="000976E9" w:rsidP="00AE4255">
      <w:pPr>
        <w:pStyle w:val="A-Lijn"/>
        <w:jc w:val="both"/>
        <w:rPr>
          <w:rFonts w:ascii="Verdana" w:hAnsi="Verdana"/>
          <w:sz w:val="20"/>
          <w:szCs w:val="20"/>
        </w:rPr>
      </w:pPr>
    </w:p>
    <w:p w14:paraId="46A4C44B" w14:textId="77777777" w:rsidR="000976E9" w:rsidRPr="00AE4255" w:rsidRDefault="000976E9" w:rsidP="00AE4255">
      <w:pPr>
        <w:pStyle w:val="A-Type"/>
        <w:jc w:val="both"/>
        <w:rPr>
          <w:rFonts w:ascii="Verdana" w:hAnsi="Verdana"/>
          <w:sz w:val="20"/>
          <w:szCs w:val="20"/>
        </w:rPr>
        <w:sectPr w:rsidR="000976E9" w:rsidRPr="00AE4255">
          <w:pgSz w:w="11906" w:h="16838"/>
          <w:pgMar w:top="1417" w:right="1417" w:bottom="1417" w:left="1417" w:header="708" w:footer="708" w:gutter="0"/>
          <w:cols w:space="708"/>
          <w:docGrid w:linePitch="360"/>
        </w:sectPr>
      </w:pPr>
    </w:p>
    <w:p w14:paraId="46A4C44C" w14:textId="5B970155" w:rsidR="00210C07" w:rsidRPr="00AE4255" w:rsidRDefault="008E4F90" w:rsidP="00AE4255">
      <w:pPr>
        <w:pStyle w:val="A-Type"/>
        <w:jc w:val="both"/>
        <w:rPr>
          <w:rFonts w:ascii="Verdana" w:hAnsi="Verdana"/>
          <w:sz w:val="20"/>
          <w:szCs w:val="20"/>
        </w:rPr>
        <w:sectPr w:rsidR="00210C07" w:rsidRPr="00AE4255" w:rsidSect="000976E9">
          <w:type w:val="continuous"/>
          <w:pgSz w:w="11906" w:h="16838"/>
          <w:pgMar w:top="1417" w:right="1417" w:bottom="1417" w:left="1417" w:header="708" w:footer="708" w:gutter="0"/>
          <w:cols w:space="708"/>
          <w:formProt w:val="0"/>
          <w:docGrid w:linePitch="360"/>
        </w:sectPr>
      </w:pPr>
      <w:r>
        <w:rPr>
          <w:rFonts w:ascii="Verdana" w:hAnsi="Verdana"/>
          <w:sz w:val="20"/>
          <w:szCs w:val="20"/>
        </w:rPr>
        <w:t xml:space="preserve">gecoördineerd </w:t>
      </w:r>
      <w:r w:rsidR="000976E9" w:rsidRPr="00AE4255">
        <w:rPr>
          <w:rFonts w:ascii="Verdana" w:hAnsi="Verdana"/>
          <w:sz w:val="20"/>
          <w:szCs w:val="20"/>
        </w:rPr>
        <w:t>antwoord</w:t>
      </w:r>
    </w:p>
    <w:p w14:paraId="46A4C44D" w14:textId="0DE61B8A" w:rsidR="000976E9" w:rsidRPr="00301372" w:rsidRDefault="000976E9" w:rsidP="00AE4255">
      <w:pPr>
        <w:pStyle w:val="A-Type"/>
        <w:jc w:val="both"/>
        <w:rPr>
          <w:rFonts w:ascii="Verdana" w:hAnsi="Verdana"/>
          <w:b w:val="0"/>
          <w:smallCaps w:val="0"/>
          <w:sz w:val="20"/>
          <w:szCs w:val="20"/>
        </w:rPr>
      </w:pPr>
      <w:r w:rsidRPr="00AE4255">
        <w:rPr>
          <w:rFonts w:ascii="Verdana" w:hAnsi="Verdana"/>
          <w:b w:val="0"/>
          <w:smallCaps w:val="0"/>
          <w:sz w:val="20"/>
          <w:szCs w:val="20"/>
        </w:rPr>
        <w:t>op vraag nr.</w:t>
      </w:r>
      <w:r w:rsidRPr="00AE4255">
        <w:rPr>
          <w:rFonts w:ascii="Verdana" w:hAnsi="Verdana"/>
          <w:b w:val="0"/>
          <w:sz w:val="20"/>
          <w:szCs w:val="20"/>
        </w:rPr>
        <w:t xml:space="preserve"> </w:t>
      </w:r>
      <w:r w:rsidR="00EF1958">
        <w:rPr>
          <w:rFonts w:ascii="Verdana" w:hAnsi="Verdana"/>
          <w:b w:val="0"/>
          <w:sz w:val="20"/>
          <w:szCs w:val="20"/>
        </w:rPr>
        <w:t>46</w:t>
      </w:r>
      <w:r w:rsidRPr="00AE4255">
        <w:rPr>
          <w:rFonts w:ascii="Verdana" w:hAnsi="Verdana"/>
          <w:b w:val="0"/>
          <w:sz w:val="20"/>
          <w:szCs w:val="20"/>
        </w:rPr>
        <w:t xml:space="preserve"> </w:t>
      </w:r>
      <w:r w:rsidRPr="00AE4255">
        <w:rPr>
          <w:rFonts w:ascii="Verdana" w:hAnsi="Verdana"/>
          <w:b w:val="0"/>
          <w:smallCaps w:val="0"/>
          <w:sz w:val="20"/>
          <w:szCs w:val="20"/>
        </w:rPr>
        <w:t>van</w:t>
      </w:r>
      <w:r w:rsidRPr="00AE4255">
        <w:rPr>
          <w:rFonts w:ascii="Verdana" w:hAnsi="Verdana"/>
          <w:b w:val="0"/>
          <w:sz w:val="20"/>
          <w:szCs w:val="20"/>
        </w:rPr>
        <w:t xml:space="preserve"> </w:t>
      </w:r>
      <w:r w:rsidR="00EF1958">
        <w:rPr>
          <w:rFonts w:ascii="Verdana" w:hAnsi="Verdana"/>
          <w:b w:val="0"/>
          <w:smallCaps w:val="0"/>
          <w:sz w:val="20"/>
          <w:szCs w:val="20"/>
        </w:rPr>
        <w:t>4</w:t>
      </w:r>
      <w:r w:rsidR="002346BF">
        <w:rPr>
          <w:rFonts w:ascii="Verdana" w:hAnsi="Verdana"/>
          <w:b w:val="0"/>
          <w:smallCaps w:val="0"/>
          <w:sz w:val="20"/>
          <w:szCs w:val="20"/>
        </w:rPr>
        <w:t xml:space="preserve"> </w:t>
      </w:r>
      <w:sdt>
        <w:sdtPr>
          <w:rPr>
            <w:rFonts w:ascii="Verdana" w:hAnsi="Verdana"/>
            <w:b w:val="0"/>
            <w:smallCaps w:val="0"/>
            <w:sz w:val="20"/>
            <w:szCs w:val="20"/>
          </w:rPr>
          <w:alias w:val="(maand)"/>
          <w:tag w:val="(maand)"/>
          <w:id w:val="-1527716432"/>
          <w:placeholder>
            <w:docPart w:val="DefaultPlaceholder_1082065159"/>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EndPr/>
        <w:sdtContent>
          <w:r w:rsidR="00EF1958">
            <w:rPr>
              <w:rFonts w:ascii="Verdana" w:hAnsi="Verdana"/>
              <w:b w:val="0"/>
              <w:smallCaps w:val="0"/>
              <w:sz w:val="20"/>
              <w:szCs w:val="20"/>
            </w:rPr>
            <w:t>november</w:t>
          </w:r>
        </w:sdtContent>
      </w:sdt>
      <w:r w:rsidR="002346BF">
        <w:rPr>
          <w:rFonts w:ascii="Verdana" w:hAnsi="Verdana"/>
          <w:b w:val="0"/>
          <w:smallCaps w:val="0"/>
          <w:sz w:val="20"/>
          <w:szCs w:val="20"/>
        </w:rPr>
        <w:t xml:space="preserve"> </w:t>
      </w:r>
      <w:sdt>
        <w:sdtPr>
          <w:rPr>
            <w:rFonts w:ascii="Verdana" w:hAnsi="Verdana"/>
            <w:b w:val="0"/>
            <w:smallCaps w:val="0"/>
            <w:sz w:val="20"/>
            <w:szCs w:val="20"/>
          </w:rPr>
          <w:alias w:val="(jaar)"/>
          <w:tag w:val="(jaar)"/>
          <w:id w:val="359940883"/>
          <w:placeholder>
            <w:docPart w:val="DefaultPlaceholder_1082065159"/>
          </w:placeholder>
          <w:dropDownList>
            <w:listItem w:value="(jaar)."/>
            <w:listItem w:displayText="2019" w:value="2019"/>
            <w:listItem w:displayText="2020" w:value="2020"/>
            <w:listItem w:displayText="2021" w:value="2021"/>
            <w:listItem w:displayText="2022" w:value="2022"/>
            <w:listItem w:displayText="2023" w:value="2023"/>
          </w:dropDownList>
        </w:sdtPr>
        <w:sdtEndPr/>
        <w:sdtContent>
          <w:r w:rsidR="00EF1958">
            <w:rPr>
              <w:rFonts w:ascii="Verdana" w:hAnsi="Verdana"/>
              <w:b w:val="0"/>
              <w:smallCaps w:val="0"/>
              <w:sz w:val="20"/>
              <w:szCs w:val="20"/>
            </w:rPr>
            <w:t>2022</w:t>
          </w:r>
        </w:sdtContent>
      </w:sdt>
    </w:p>
    <w:p w14:paraId="46A4C44E" w14:textId="59C13492" w:rsidR="000976E9" w:rsidRPr="00AE4255" w:rsidRDefault="000976E9" w:rsidP="00AE4255">
      <w:pPr>
        <w:jc w:val="both"/>
        <w:rPr>
          <w:rFonts w:ascii="Verdana" w:hAnsi="Verdana"/>
          <w:sz w:val="20"/>
          <w:szCs w:val="20"/>
        </w:rPr>
      </w:pPr>
      <w:r w:rsidRPr="00AE4255">
        <w:rPr>
          <w:rFonts w:ascii="Verdana" w:hAnsi="Verdana"/>
          <w:sz w:val="20"/>
          <w:szCs w:val="20"/>
        </w:rPr>
        <w:t xml:space="preserve">van </w:t>
      </w:r>
      <w:proofErr w:type="spellStart"/>
      <w:r w:rsidR="008E4F90">
        <w:rPr>
          <w:rStyle w:val="AntwoordNaamMinisterChar"/>
          <w:rFonts w:ascii="Verdana" w:hAnsi="Verdana"/>
          <w:sz w:val="20"/>
          <w:szCs w:val="20"/>
        </w:rPr>
        <w:t>c</w:t>
      </w:r>
      <w:r w:rsidR="00EF1958">
        <w:rPr>
          <w:rStyle w:val="AntwoordNaamMinisterChar"/>
          <w:rFonts w:ascii="Verdana" w:hAnsi="Verdana"/>
          <w:sz w:val="20"/>
          <w:szCs w:val="20"/>
        </w:rPr>
        <w:t>hris</w:t>
      </w:r>
      <w:proofErr w:type="spellEnd"/>
      <w:r w:rsidR="00EF1958">
        <w:rPr>
          <w:rStyle w:val="AntwoordNaamMinisterChar"/>
          <w:rFonts w:ascii="Verdana" w:hAnsi="Verdana"/>
          <w:sz w:val="20"/>
          <w:szCs w:val="20"/>
        </w:rPr>
        <w:t xml:space="preserve"> </w:t>
      </w:r>
      <w:r w:rsidR="008E4F90">
        <w:rPr>
          <w:rStyle w:val="AntwoordNaamMinisterChar"/>
          <w:rFonts w:ascii="Verdana" w:hAnsi="Verdana"/>
          <w:sz w:val="20"/>
          <w:szCs w:val="20"/>
        </w:rPr>
        <w:t>j</w:t>
      </w:r>
      <w:r w:rsidR="00EF1958">
        <w:rPr>
          <w:rStyle w:val="AntwoordNaamMinisterChar"/>
          <w:rFonts w:ascii="Verdana" w:hAnsi="Verdana"/>
          <w:sz w:val="20"/>
          <w:szCs w:val="20"/>
        </w:rPr>
        <w:t>anssens</w:t>
      </w:r>
    </w:p>
    <w:p w14:paraId="46A4C44F" w14:textId="77777777" w:rsidR="00326A58" w:rsidRPr="00AE4255" w:rsidRDefault="00326A58" w:rsidP="00AE4255">
      <w:pPr>
        <w:jc w:val="both"/>
        <w:rPr>
          <w:rFonts w:ascii="Verdana" w:hAnsi="Verdana"/>
          <w:sz w:val="20"/>
          <w:szCs w:val="20"/>
        </w:rPr>
      </w:pPr>
    </w:p>
    <w:p w14:paraId="46A4C450" w14:textId="77777777" w:rsidR="000976E9" w:rsidRPr="00AE4255" w:rsidRDefault="000976E9" w:rsidP="00AE4255">
      <w:pPr>
        <w:pStyle w:val="A-Lijn"/>
        <w:jc w:val="both"/>
        <w:rPr>
          <w:rFonts w:ascii="Verdana" w:hAnsi="Verdana"/>
          <w:sz w:val="20"/>
          <w:szCs w:val="20"/>
        </w:rPr>
      </w:pPr>
    </w:p>
    <w:p w14:paraId="46A4C452" w14:textId="77777777" w:rsidR="000976E9" w:rsidRPr="00AE4255" w:rsidRDefault="000976E9" w:rsidP="00AE4255">
      <w:pPr>
        <w:jc w:val="both"/>
        <w:rPr>
          <w:rFonts w:ascii="Verdana" w:hAnsi="Verdana"/>
          <w:sz w:val="20"/>
          <w:szCs w:val="20"/>
        </w:rPr>
        <w:sectPr w:rsidR="000976E9" w:rsidRPr="00AE4255" w:rsidSect="000976E9">
          <w:type w:val="continuous"/>
          <w:pgSz w:w="11906" w:h="16838"/>
          <w:pgMar w:top="1417" w:right="1417" w:bottom="1417" w:left="1417" w:header="708" w:footer="708" w:gutter="0"/>
          <w:cols w:space="708"/>
          <w:docGrid w:linePitch="360"/>
        </w:sectPr>
      </w:pPr>
    </w:p>
    <w:p w14:paraId="46A4C454" w14:textId="77777777" w:rsidR="00AE4255" w:rsidRDefault="00AE4255" w:rsidP="00AE4255">
      <w:pPr>
        <w:jc w:val="both"/>
        <w:rPr>
          <w:rFonts w:ascii="Verdana" w:hAnsi="Verdana"/>
          <w:sz w:val="20"/>
          <w:szCs w:val="20"/>
        </w:rPr>
      </w:pPr>
    </w:p>
    <w:p w14:paraId="3FFE21B3" w14:textId="6EF5EBD0" w:rsidR="00DD1B20" w:rsidRDefault="00DD1B20" w:rsidP="00DD1B20">
      <w:pPr>
        <w:numPr>
          <w:ilvl w:val="0"/>
          <w:numId w:val="3"/>
        </w:numPr>
        <w:ind w:left="284" w:hanging="284"/>
        <w:jc w:val="both"/>
        <w:rPr>
          <w:rFonts w:ascii="Verdana" w:hAnsi="Verdana"/>
          <w:sz w:val="20"/>
          <w:szCs w:val="20"/>
        </w:rPr>
      </w:pPr>
      <w:r>
        <w:rPr>
          <w:rFonts w:ascii="Verdana" w:hAnsi="Verdana"/>
          <w:sz w:val="20"/>
          <w:szCs w:val="20"/>
        </w:rPr>
        <w:t>In onderstaande tabel vindt u de gevraagde verdeling</w:t>
      </w:r>
      <w:r w:rsidR="00765907">
        <w:rPr>
          <w:rFonts w:ascii="Verdana" w:hAnsi="Verdana"/>
          <w:sz w:val="20"/>
          <w:szCs w:val="20"/>
        </w:rPr>
        <w:t xml:space="preserve"> </w:t>
      </w:r>
      <w:r w:rsidR="001B352F">
        <w:rPr>
          <w:rFonts w:ascii="Verdana" w:hAnsi="Verdana"/>
          <w:sz w:val="20"/>
          <w:szCs w:val="20"/>
        </w:rPr>
        <w:t>(bedragen uitgedrukt 1000 EUR).</w:t>
      </w:r>
    </w:p>
    <w:p w14:paraId="4A9A8491" w14:textId="24DC8E5C" w:rsidR="00DD1B20" w:rsidRDefault="00DD1B20" w:rsidP="00DD1B20">
      <w:pPr>
        <w:ind w:left="284"/>
        <w:jc w:val="both"/>
        <w:rPr>
          <w:rFonts w:ascii="Verdana" w:hAnsi="Verdana"/>
          <w:sz w:val="20"/>
          <w:szCs w:val="20"/>
        </w:rPr>
      </w:pPr>
    </w:p>
    <w:tbl>
      <w:tblPr>
        <w:tblStyle w:val="Tabelraster"/>
        <w:tblW w:w="9214" w:type="dxa"/>
        <w:tblInd w:w="279" w:type="dxa"/>
        <w:tblLayout w:type="fixed"/>
        <w:tblLook w:val="04A0" w:firstRow="1" w:lastRow="0" w:firstColumn="1" w:lastColumn="0" w:noHBand="0" w:noVBand="1"/>
      </w:tblPr>
      <w:tblGrid>
        <w:gridCol w:w="1843"/>
        <w:gridCol w:w="1474"/>
        <w:gridCol w:w="1474"/>
        <w:gridCol w:w="1474"/>
        <w:gridCol w:w="1474"/>
        <w:gridCol w:w="1475"/>
      </w:tblGrid>
      <w:tr w:rsidR="00765907" w:rsidRPr="00765907" w14:paraId="3443A835" w14:textId="77777777" w:rsidTr="00765907">
        <w:trPr>
          <w:trHeight w:val="288"/>
        </w:trPr>
        <w:tc>
          <w:tcPr>
            <w:tcW w:w="1843" w:type="dxa"/>
            <w:noWrap/>
            <w:hideMark/>
          </w:tcPr>
          <w:p w14:paraId="1F269095" w14:textId="2409C382" w:rsidR="00765907" w:rsidRPr="00765907" w:rsidRDefault="00765907" w:rsidP="00765907">
            <w:pPr>
              <w:jc w:val="both"/>
              <w:rPr>
                <w:rFonts w:ascii="Verdana" w:hAnsi="Verdana"/>
                <w:sz w:val="16"/>
                <w:szCs w:val="16"/>
              </w:rPr>
            </w:pPr>
          </w:p>
        </w:tc>
        <w:tc>
          <w:tcPr>
            <w:tcW w:w="1474" w:type="dxa"/>
            <w:noWrap/>
            <w:hideMark/>
          </w:tcPr>
          <w:p w14:paraId="25857714"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Totaal relancebudget Vlaamse Veerkracht </w:t>
            </w:r>
          </w:p>
        </w:tc>
        <w:tc>
          <w:tcPr>
            <w:tcW w:w="1474" w:type="dxa"/>
            <w:noWrap/>
            <w:hideMark/>
          </w:tcPr>
          <w:p w14:paraId="0C35F0AB"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Bedrag relanceprovisie niet gedekt door EU </w:t>
            </w:r>
          </w:p>
        </w:tc>
        <w:tc>
          <w:tcPr>
            <w:tcW w:w="1474" w:type="dxa"/>
            <w:noWrap/>
            <w:hideMark/>
          </w:tcPr>
          <w:p w14:paraId="0C5E7EA8"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Bedrag relanceprovisie afkomstig van Europees Herstelfonds </w:t>
            </w:r>
          </w:p>
        </w:tc>
        <w:tc>
          <w:tcPr>
            <w:tcW w:w="1474" w:type="dxa"/>
            <w:noWrap/>
            <w:hideMark/>
          </w:tcPr>
          <w:p w14:paraId="202D9ECB"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Bedrag relanceprovisie afkomstig van </w:t>
            </w:r>
            <w:proofErr w:type="spellStart"/>
            <w:r w:rsidRPr="00765907">
              <w:rPr>
                <w:rFonts w:ascii="Verdana" w:hAnsi="Verdana"/>
                <w:sz w:val="16"/>
                <w:szCs w:val="16"/>
              </w:rPr>
              <w:t>Brexit</w:t>
            </w:r>
            <w:proofErr w:type="spellEnd"/>
            <w:r w:rsidRPr="00765907">
              <w:rPr>
                <w:rFonts w:ascii="Verdana" w:hAnsi="Verdana"/>
                <w:sz w:val="16"/>
                <w:szCs w:val="16"/>
              </w:rPr>
              <w:t xml:space="preserve">-fonds </w:t>
            </w:r>
          </w:p>
        </w:tc>
        <w:tc>
          <w:tcPr>
            <w:tcW w:w="1475" w:type="dxa"/>
            <w:noWrap/>
            <w:hideMark/>
          </w:tcPr>
          <w:p w14:paraId="11318839"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Bedrag relanceprovisie afkomstig van </w:t>
            </w:r>
            <w:proofErr w:type="spellStart"/>
            <w:r w:rsidRPr="00765907">
              <w:rPr>
                <w:rFonts w:ascii="Verdana" w:hAnsi="Verdana"/>
                <w:sz w:val="16"/>
                <w:szCs w:val="16"/>
              </w:rPr>
              <w:t>React</w:t>
            </w:r>
            <w:proofErr w:type="spellEnd"/>
            <w:r w:rsidRPr="00765907">
              <w:rPr>
                <w:rFonts w:ascii="Verdana" w:hAnsi="Verdana"/>
                <w:sz w:val="16"/>
                <w:szCs w:val="16"/>
              </w:rPr>
              <w:t xml:space="preserve"> EU </w:t>
            </w:r>
          </w:p>
        </w:tc>
      </w:tr>
      <w:tr w:rsidR="00765907" w:rsidRPr="00765907" w14:paraId="0CEF6D22" w14:textId="77777777" w:rsidTr="00765907">
        <w:trPr>
          <w:trHeight w:val="288"/>
        </w:trPr>
        <w:tc>
          <w:tcPr>
            <w:tcW w:w="1843" w:type="dxa"/>
            <w:noWrap/>
            <w:hideMark/>
          </w:tcPr>
          <w:p w14:paraId="2298C742" w14:textId="77777777" w:rsidR="00765907" w:rsidRPr="00765907" w:rsidRDefault="00765907" w:rsidP="00765907">
            <w:pPr>
              <w:jc w:val="both"/>
              <w:rPr>
                <w:rFonts w:ascii="Verdana" w:hAnsi="Verdana"/>
                <w:sz w:val="16"/>
                <w:szCs w:val="16"/>
              </w:rPr>
            </w:pPr>
            <w:r w:rsidRPr="00765907">
              <w:rPr>
                <w:rFonts w:ascii="Verdana" w:hAnsi="Verdana"/>
                <w:sz w:val="16"/>
                <w:szCs w:val="16"/>
              </w:rPr>
              <w:t>Cultuur, Jeugd, Sport en Media</w:t>
            </w:r>
          </w:p>
        </w:tc>
        <w:tc>
          <w:tcPr>
            <w:tcW w:w="1474" w:type="dxa"/>
            <w:noWrap/>
            <w:hideMark/>
          </w:tcPr>
          <w:p w14:paraId="5A20E5D3"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256.002 </w:t>
            </w:r>
          </w:p>
        </w:tc>
        <w:tc>
          <w:tcPr>
            <w:tcW w:w="1474" w:type="dxa"/>
            <w:noWrap/>
            <w:hideMark/>
          </w:tcPr>
          <w:p w14:paraId="3B1DA7FE"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251.002 </w:t>
            </w:r>
          </w:p>
        </w:tc>
        <w:tc>
          <w:tcPr>
            <w:tcW w:w="1474" w:type="dxa"/>
            <w:noWrap/>
            <w:hideMark/>
          </w:tcPr>
          <w:p w14:paraId="7BC29B07" w14:textId="77777777" w:rsidR="00765907" w:rsidRPr="00765907" w:rsidRDefault="00765907" w:rsidP="00765907">
            <w:pPr>
              <w:jc w:val="both"/>
              <w:rPr>
                <w:rFonts w:ascii="Verdana" w:hAnsi="Verdana"/>
                <w:sz w:val="16"/>
                <w:szCs w:val="16"/>
              </w:rPr>
            </w:pPr>
          </w:p>
        </w:tc>
        <w:tc>
          <w:tcPr>
            <w:tcW w:w="1474" w:type="dxa"/>
            <w:noWrap/>
            <w:hideMark/>
          </w:tcPr>
          <w:p w14:paraId="73C260FD" w14:textId="77777777" w:rsidR="00765907" w:rsidRPr="00765907" w:rsidRDefault="00765907" w:rsidP="00765907">
            <w:pPr>
              <w:jc w:val="both"/>
              <w:rPr>
                <w:rFonts w:ascii="Verdana" w:hAnsi="Verdana"/>
                <w:sz w:val="16"/>
                <w:szCs w:val="16"/>
              </w:rPr>
            </w:pPr>
          </w:p>
        </w:tc>
        <w:tc>
          <w:tcPr>
            <w:tcW w:w="1475" w:type="dxa"/>
            <w:noWrap/>
            <w:hideMark/>
          </w:tcPr>
          <w:p w14:paraId="030FB716"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5.000 </w:t>
            </w:r>
          </w:p>
        </w:tc>
      </w:tr>
      <w:tr w:rsidR="00765907" w:rsidRPr="00765907" w14:paraId="1A932817" w14:textId="77777777" w:rsidTr="00765907">
        <w:trPr>
          <w:trHeight w:val="288"/>
        </w:trPr>
        <w:tc>
          <w:tcPr>
            <w:tcW w:w="1843" w:type="dxa"/>
            <w:noWrap/>
            <w:hideMark/>
          </w:tcPr>
          <w:p w14:paraId="583A7649" w14:textId="77777777" w:rsidR="00765907" w:rsidRPr="00765907" w:rsidRDefault="00765907" w:rsidP="00765907">
            <w:pPr>
              <w:jc w:val="both"/>
              <w:rPr>
                <w:rFonts w:ascii="Verdana" w:hAnsi="Verdana"/>
                <w:sz w:val="16"/>
                <w:szCs w:val="16"/>
              </w:rPr>
            </w:pPr>
            <w:r w:rsidRPr="00765907">
              <w:rPr>
                <w:rFonts w:ascii="Verdana" w:hAnsi="Verdana"/>
                <w:sz w:val="16"/>
                <w:szCs w:val="16"/>
              </w:rPr>
              <w:t>Economie, Wetenschap en Innovatie</w:t>
            </w:r>
          </w:p>
        </w:tc>
        <w:tc>
          <w:tcPr>
            <w:tcW w:w="1474" w:type="dxa"/>
            <w:noWrap/>
            <w:hideMark/>
          </w:tcPr>
          <w:p w14:paraId="55D8C38C"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552.464 </w:t>
            </w:r>
          </w:p>
        </w:tc>
        <w:tc>
          <w:tcPr>
            <w:tcW w:w="1474" w:type="dxa"/>
            <w:noWrap/>
            <w:hideMark/>
          </w:tcPr>
          <w:p w14:paraId="77D2B822"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56.464 </w:t>
            </w:r>
          </w:p>
        </w:tc>
        <w:tc>
          <w:tcPr>
            <w:tcW w:w="1474" w:type="dxa"/>
            <w:noWrap/>
            <w:hideMark/>
          </w:tcPr>
          <w:p w14:paraId="69EEEE3B"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446.000 </w:t>
            </w:r>
          </w:p>
        </w:tc>
        <w:tc>
          <w:tcPr>
            <w:tcW w:w="1474" w:type="dxa"/>
            <w:noWrap/>
            <w:hideMark/>
          </w:tcPr>
          <w:p w14:paraId="0E362D45"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50.000 </w:t>
            </w:r>
          </w:p>
        </w:tc>
        <w:tc>
          <w:tcPr>
            <w:tcW w:w="1475" w:type="dxa"/>
            <w:noWrap/>
            <w:hideMark/>
          </w:tcPr>
          <w:p w14:paraId="4F736FC1" w14:textId="77777777" w:rsidR="00765907" w:rsidRPr="00765907" w:rsidRDefault="00765907" w:rsidP="00765907">
            <w:pPr>
              <w:jc w:val="both"/>
              <w:rPr>
                <w:rFonts w:ascii="Verdana" w:hAnsi="Verdana"/>
                <w:sz w:val="16"/>
                <w:szCs w:val="16"/>
              </w:rPr>
            </w:pPr>
          </w:p>
        </w:tc>
      </w:tr>
      <w:tr w:rsidR="00765907" w:rsidRPr="00765907" w14:paraId="3512F7E4" w14:textId="77777777" w:rsidTr="00765907">
        <w:trPr>
          <w:trHeight w:val="288"/>
        </w:trPr>
        <w:tc>
          <w:tcPr>
            <w:tcW w:w="1843" w:type="dxa"/>
            <w:noWrap/>
            <w:hideMark/>
          </w:tcPr>
          <w:p w14:paraId="1A75C031" w14:textId="77777777" w:rsidR="00765907" w:rsidRPr="00765907" w:rsidRDefault="00765907" w:rsidP="00765907">
            <w:pPr>
              <w:jc w:val="both"/>
              <w:rPr>
                <w:rFonts w:ascii="Verdana" w:hAnsi="Verdana"/>
                <w:sz w:val="16"/>
                <w:szCs w:val="16"/>
              </w:rPr>
            </w:pPr>
            <w:r w:rsidRPr="00765907">
              <w:rPr>
                <w:rFonts w:ascii="Verdana" w:hAnsi="Verdana"/>
                <w:sz w:val="16"/>
                <w:szCs w:val="16"/>
              </w:rPr>
              <w:t>Financiën en Begroting</w:t>
            </w:r>
          </w:p>
        </w:tc>
        <w:tc>
          <w:tcPr>
            <w:tcW w:w="1474" w:type="dxa"/>
            <w:noWrap/>
            <w:hideMark/>
          </w:tcPr>
          <w:p w14:paraId="325AD65E"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10.000 </w:t>
            </w:r>
          </w:p>
        </w:tc>
        <w:tc>
          <w:tcPr>
            <w:tcW w:w="1474" w:type="dxa"/>
            <w:noWrap/>
            <w:hideMark/>
          </w:tcPr>
          <w:p w14:paraId="61DEA153"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1.700 </w:t>
            </w:r>
          </w:p>
        </w:tc>
        <w:tc>
          <w:tcPr>
            <w:tcW w:w="1474" w:type="dxa"/>
            <w:noWrap/>
            <w:hideMark/>
          </w:tcPr>
          <w:p w14:paraId="34DFCA70"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8.300 </w:t>
            </w:r>
          </w:p>
        </w:tc>
        <w:tc>
          <w:tcPr>
            <w:tcW w:w="1474" w:type="dxa"/>
            <w:noWrap/>
            <w:hideMark/>
          </w:tcPr>
          <w:p w14:paraId="08660A00" w14:textId="77777777" w:rsidR="00765907" w:rsidRPr="00765907" w:rsidRDefault="00765907" w:rsidP="00765907">
            <w:pPr>
              <w:jc w:val="both"/>
              <w:rPr>
                <w:rFonts w:ascii="Verdana" w:hAnsi="Verdana"/>
                <w:sz w:val="16"/>
                <w:szCs w:val="16"/>
              </w:rPr>
            </w:pPr>
          </w:p>
        </w:tc>
        <w:tc>
          <w:tcPr>
            <w:tcW w:w="1475" w:type="dxa"/>
            <w:noWrap/>
            <w:hideMark/>
          </w:tcPr>
          <w:p w14:paraId="4D9A5746" w14:textId="77777777" w:rsidR="00765907" w:rsidRPr="00765907" w:rsidRDefault="00765907" w:rsidP="00765907">
            <w:pPr>
              <w:jc w:val="both"/>
              <w:rPr>
                <w:rFonts w:ascii="Verdana" w:hAnsi="Verdana"/>
                <w:sz w:val="16"/>
                <w:szCs w:val="16"/>
              </w:rPr>
            </w:pPr>
          </w:p>
        </w:tc>
      </w:tr>
      <w:tr w:rsidR="00765907" w:rsidRPr="00765907" w14:paraId="3A59014D" w14:textId="77777777" w:rsidTr="00765907">
        <w:trPr>
          <w:trHeight w:val="288"/>
        </w:trPr>
        <w:tc>
          <w:tcPr>
            <w:tcW w:w="1843" w:type="dxa"/>
            <w:noWrap/>
            <w:hideMark/>
          </w:tcPr>
          <w:p w14:paraId="33BCA90A" w14:textId="77777777" w:rsidR="00765907" w:rsidRPr="00765907" w:rsidRDefault="00765907" w:rsidP="00765907">
            <w:pPr>
              <w:jc w:val="both"/>
              <w:rPr>
                <w:rFonts w:ascii="Verdana" w:hAnsi="Verdana"/>
                <w:sz w:val="16"/>
                <w:szCs w:val="16"/>
              </w:rPr>
            </w:pPr>
            <w:r w:rsidRPr="00765907">
              <w:rPr>
                <w:rFonts w:ascii="Verdana" w:hAnsi="Verdana"/>
                <w:sz w:val="16"/>
                <w:szCs w:val="16"/>
              </w:rPr>
              <w:t>Kanselarij, Bestuur, Buitenlandse Zaken en Justitie</w:t>
            </w:r>
          </w:p>
        </w:tc>
        <w:tc>
          <w:tcPr>
            <w:tcW w:w="1474" w:type="dxa"/>
            <w:noWrap/>
            <w:hideMark/>
          </w:tcPr>
          <w:p w14:paraId="67ADBBD9" w14:textId="01E194CA" w:rsidR="00765907" w:rsidRPr="00765907" w:rsidRDefault="00765907" w:rsidP="00765907">
            <w:pPr>
              <w:jc w:val="both"/>
              <w:rPr>
                <w:rFonts w:ascii="Verdana" w:hAnsi="Verdana"/>
                <w:sz w:val="16"/>
                <w:szCs w:val="16"/>
              </w:rPr>
            </w:pPr>
            <w:r w:rsidRPr="00765907">
              <w:rPr>
                <w:rFonts w:ascii="Verdana" w:hAnsi="Verdana"/>
                <w:sz w:val="16"/>
                <w:szCs w:val="16"/>
              </w:rPr>
              <w:t>4</w:t>
            </w:r>
            <w:r w:rsidR="00027450">
              <w:rPr>
                <w:rFonts w:ascii="Verdana" w:hAnsi="Verdana"/>
                <w:sz w:val="16"/>
                <w:szCs w:val="16"/>
              </w:rPr>
              <w:t>8</w:t>
            </w:r>
            <w:r w:rsidRPr="00765907">
              <w:rPr>
                <w:rFonts w:ascii="Verdana" w:hAnsi="Verdana"/>
                <w:sz w:val="16"/>
                <w:szCs w:val="16"/>
              </w:rPr>
              <w:t xml:space="preserve">7.900 </w:t>
            </w:r>
          </w:p>
        </w:tc>
        <w:tc>
          <w:tcPr>
            <w:tcW w:w="1474" w:type="dxa"/>
            <w:noWrap/>
            <w:hideMark/>
          </w:tcPr>
          <w:p w14:paraId="0F0C5E29" w14:textId="4615BCB5" w:rsidR="00765907" w:rsidRPr="00765907" w:rsidRDefault="00765907" w:rsidP="00765907">
            <w:pPr>
              <w:jc w:val="both"/>
              <w:rPr>
                <w:rFonts w:ascii="Verdana" w:hAnsi="Verdana"/>
                <w:sz w:val="16"/>
                <w:szCs w:val="16"/>
              </w:rPr>
            </w:pPr>
            <w:r w:rsidRPr="00765907">
              <w:rPr>
                <w:rFonts w:ascii="Verdana" w:hAnsi="Verdana"/>
                <w:sz w:val="16"/>
                <w:szCs w:val="16"/>
              </w:rPr>
              <w:t>2</w:t>
            </w:r>
            <w:r w:rsidR="00027450">
              <w:rPr>
                <w:rFonts w:ascii="Verdana" w:hAnsi="Verdana"/>
                <w:sz w:val="16"/>
                <w:szCs w:val="16"/>
              </w:rPr>
              <w:t>2</w:t>
            </w:r>
            <w:r w:rsidRPr="00765907">
              <w:rPr>
                <w:rFonts w:ascii="Verdana" w:hAnsi="Verdana"/>
                <w:sz w:val="16"/>
                <w:szCs w:val="16"/>
              </w:rPr>
              <w:t xml:space="preserve">0.044 </w:t>
            </w:r>
          </w:p>
        </w:tc>
        <w:tc>
          <w:tcPr>
            <w:tcW w:w="1474" w:type="dxa"/>
            <w:noWrap/>
            <w:hideMark/>
          </w:tcPr>
          <w:p w14:paraId="6884F4B4"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237.856 </w:t>
            </w:r>
          </w:p>
        </w:tc>
        <w:tc>
          <w:tcPr>
            <w:tcW w:w="1474" w:type="dxa"/>
            <w:noWrap/>
            <w:hideMark/>
          </w:tcPr>
          <w:p w14:paraId="4FAC84DE"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30.000 </w:t>
            </w:r>
          </w:p>
        </w:tc>
        <w:tc>
          <w:tcPr>
            <w:tcW w:w="1475" w:type="dxa"/>
            <w:noWrap/>
            <w:hideMark/>
          </w:tcPr>
          <w:p w14:paraId="28720C92" w14:textId="77777777" w:rsidR="00765907" w:rsidRPr="00765907" w:rsidRDefault="00765907" w:rsidP="00765907">
            <w:pPr>
              <w:jc w:val="both"/>
              <w:rPr>
                <w:rFonts w:ascii="Verdana" w:hAnsi="Verdana"/>
                <w:sz w:val="16"/>
                <w:szCs w:val="16"/>
              </w:rPr>
            </w:pPr>
          </w:p>
        </w:tc>
      </w:tr>
      <w:tr w:rsidR="00765907" w:rsidRPr="00765907" w14:paraId="4E48F58F" w14:textId="77777777" w:rsidTr="00765907">
        <w:trPr>
          <w:trHeight w:val="288"/>
        </w:trPr>
        <w:tc>
          <w:tcPr>
            <w:tcW w:w="1843" w:type="dxa"/>
            <w:noWrap/>
            <w:hideMark/>
          </w:tcPr>
          <w:p w14:paraId="16167A28" w14:textId="77777777" w:rsidR="00765907" w:rsidRPr="00765907" w:rsidRDefault="00765907" w:rsidP="00765907">
            <w:pPr>
              <w:jc w:val="both"/>
              <w:rPr>
                <w:rFonts w:ascii="Verdana" w:hAnsi="Verdana"/>
                <w:sz w:val="16"/>
                <w:szCs w:val="16"/>
              </w:rPr>
            </w:pPr>
            <w:r w:rsidRPr="00765907">
              <w:rPr>
                <w:rFonts w:ascii="Verdana" w:hAnsi="Verdana"/>
                <w:sz w:val="16"/>
                <w:szCs w:val="16"/>
              </w:rPr>
              <w:t>Landbouw en Visserij</w:t>
            </w:r>
          </w:p>
        </w:tc>
        <w:tc>
          <w:tcPr>
            <w:tcW w:w="1474" w:type="dxa"/>
            <w:noWrap/>
            <w:hideMark/>
          </w:tcPr>
          <w:p w14:paraId="77590F9E"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45.536 </w:t>
            </w:r>
          </w:p>
        </w:tc>
        <w:tc>
          <w:tcPr>
            <w:tcW w:w="1474" w:type="dxa"/>
            <w:noWrap/>
            <w:hideMark/>
          </w:tcPr>
          <w:p w14:paraId="2EB91E5B"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42.536 </w:t>
            </w:r>
          </w:p>
        </w:tc>
        <w:tc>
          <w:tcPr>
            <w:tcW w:w="1474" w:type="dxa"/>
            <w:noWrap/>
            <w:hideMark/>
          </w:tcPr>
          <w:p w14:paraId="0ECE4993" w14:textId="77777777" w:rsidR="00765907" w:rsidRPr="00765907" w:rsidRDefault="00765907" w:rsidP="00765907">
            <w:pPr>
              <w:jc w:val="both"/>
              <w:rPr>
                <w:rFonts w:ascii="Verdana" w:hAnsi="Verdana"/>
                <w:sz w:val="16"/>
                <w:szCs w:val="16"/>
              </w:rPr>
            </w:pPr>
          </w:p>
        </w:tc>
        <w:tc>
          <w:tcPr>
            <w:tcW w:w="1474" w:type="dxa"/>
            <w:noWrap/>
            <w:hideMark/>
          </w:tcPr>
          <w:p w14:paraId="1AE94EF1"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3.000 </w:t>
            </w:r>
          </w:p>
        </w:tc>
        <w:tc>
          <w:tcPr>
            <w:tcW w:w="1475" w:type="dxa"/>
            <w:noWrap/>
            <w:hideMark/>
          </w:tcPr>
          <w:p w14:paraId="0386326B" w14:textId="77777777" w:rsidR="00765907" w:rsidRPr="00765907" w:rsidRDefault="00765907" w:rsidP="00765907">
            <w:pPr>
              <w:jc w:val="both"/>
              <w:rPr>
                <w:rFonts w:ascii="Verdana" w:hAnsi="Verdana"/>
                <w:sz w:val="16"/>
                <w:szCs w:val="16"/>
              </w:rPr>
            </w:pPr>
          </w:p>
        </w:tc>
      </w:tr>
      <w:tr w:rsidR="00765907" w:rsidRPr="00765907" w14:paraId="147E5CD4" w14:textId="77777777" w:rsidTr="00765907">
        <w:trPr>
          <w:trHeight w:val="288"/>
        </w:trPr>
        <w:tc>
          <w:tcPr>
            <w:tcW w:w="1843" w:type="dxa"/>
            <w:noWrap/>
            <w:hideMark/>
          </w:tcPr>
          <w:p w14:paraId="60013BC0" w14:textId="77777777" w:rsidR="00765907" w:rsidRPr="00765907" w:rsidRDefault="00765907" w:rsidP="00765907">
            <w:pPr>
              <w:jc w:val="both"/>
              <w:rPr>
                <w:rFonts w:ascii="Verdana" w:hAnsi="Verdana"/>
                <w:sz w:val="16"/>
                <w:szCs w:val="16"/>
              </w:rPr>
            </w:pPr>
            <w:r w:rsidRPr="00765907">
              <w:rPr>
                <w:rFonts w:ascii="Verdana" w:hAnsi="Verdana"/>
                <w:sz w:val="16"/>
                <w:szCs w:val="16"/>
              </w:rPr>
              <w:t>Mobiliteit en Openbare Werken</w:t>
            </w:r>
          </w:p>
        </w:tc>
        <w:tc>
          <w:tcPr>
            <w:tcW w:w="1474" w:type="dxa"/>
            <w:noWrap/>
            <w:hideMark/>
          </w:tcPr>
          <w:p w14:paraId="2A5E158F" w14:textId="48B21D11" w:rsidR="00765907" w:rsidRPr="00765907" w:rsidRDefault="00027450" w:rsidP="00765907">
            <w:pPr>
              <w:jc w:val="both"/>
              <w:rPr>
                <w:rFonts w:ascii="Verdana" w:hAnsi="Verdana"/>
                <w:sz w:val="16"/>
                <w:szCs w:val="16"/>
              </w:rPr>
            </w:pPr>
            <w:r>
              <w:rPr>
                <w:rFonts w:ascii="Verdana" w:hAnsi="Verdana"/>
                <w:sz w:val="16"/>
                <w:szCs w:val="16"/>
              </w:rPr>
              <w:t>856.232</w:t>
            </w:r>
          </w:p>
        </w:tc>
        <w:tc>
          <w:tcPr>
            <w:tcW w:w="1474" w:type="dxa"/>
            <w:noWrap/>
            <w:hideMark/>
          </w:tcPr>
          <w:p w14:paraId="766DDC7F" w14:textId="7411F0BC" w:rsidR="00765907" w:rsidRPr="00765907" w:rsidRDefault="00027450" w:rsidP="00765907">
            <w:pPr>
              <w:jc w:val="both"/>
              <w:rPr>
                <w:rFonts w:ascii="Verdana" w:hAnsi="Verdana"/>
                <w:sz w:val="16"/>
                <w:szCs w:val="16"/>
              </w:rPr>
            </w:pPr>
            <w:r>
              <w:rPr>
                <w:rFonts w:ascii="Verdana" w:hAnsi="Verdana"/>
                <w:sz w:val="16"/>
                <w:szCs w:val="16"/>
              </w:rPr>
              <w:t>510.102</w:t>
            </w:r>
            <w:r w:rsidR="00765907" w:rsidRPr="00765907">
              <w:rPr>
                <w:rFonts w:ascii="Verdana" w:hAnsi="Verdana"/>
                <w:sz w:val="16"/>
                <w:szCs w:val="16"/>
              </w:rPr>
              <w:t xml:space="preserve"> </w:t>
            </w:r>
          </w:p>
        </w:tc>
        <w:tc>
          <w:tcPr>
            <w:tcW w:w="1474" w:type="dxa"/>
            <w:noWrap/>
            <w:hideMark/>
          </w:tcPr>
          <w:p w14:paraId="6FB0F443"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346.130 </w:t>
            </w:r>
          </w:p>
        </w:tc>
        <w:tc>
          <w:tcPr>
            <w:tcW w:w="1474" w:type="dxa"/>
            <w:noWrap/>
            <w:hideMark/>
          </w:tcPr>
          <w:p w14:paraId="72979F8E" w14:textId="77777777" w:rsidR="00765907" w:rsidRPr="00765907" w:rsidRDefault="00765907" w:rsidP="00765907">
            <w:pPr>
              <w:jc w:val="both"/>
              <w:rPr>
                <w:rFonts w:ascii="Verdana" w:hAnsi="Verdana"/>
                <w:sz w:val="16"/>
                <w:szCs w:val="16"/>
              </w:rPr>
            </w:pPr>
          </w:p>
        </w:tc>
        <w:tc>
          <w:tcPr>
            <w:tcW w:w="1475" w:type="dxa"/>
            <w:noWrap/>
            <w:hideMark/>
          </w:tcPr>
          <w:p w14:paraId="3DD0F61C" w14:textId="77777777" w:rsidR="00765907" w:rsidRPr="00765907" w:rsidRDefault="00765907" w:rsidP="00765907">
            <w:pPr>
              <w:jc w:val="both"/>
              <w:rPr>
                <w:rFonts w:ascii="Verdana" w:hAnsi="Verdana"/>
                <w:sz w:val="16"/>
                <w:szCs w:val="16"/>
              </w:rPr>
            </w:pPr>
          </w:p>
        </w:tc>
      </w:tr>
      <w:tr w:rsidR="00765907" w:rsidRPr="00765907" w14:paraId="23EFDA7E" w14:textId="77777777" w:rsidTr="00765907">
        <w:trPr>
          <w:trHeight w:val="288"/>
        </w:trPr>
        <w:tc>
          <w:tcPr>
            <w:tcW w:w="1843" w:type="dxa"/>
            <w:noWrap/>
            <w:hideMark/>
          </w:tcPr>
          <w:p w14:paraId="732AFBE4" w14:textId="77777777" w:rsidR="00765907" w:rsidRPr="00765907" w:rsidRDefault="00765907" w:rsidP="00765907">
            <w:pPr>
              <w:jc w:val="both"/>
              <w:rPr>
                <w:rFonts w:ascii="Verdana" w:hAnsi="Verdana"/>
                <w:sz w:val="16"/>
                <w:szCs w:val="16"/>
              </w:rPr>
            </w:pPr>
            <w:r w:rsidRPr="00765907">
              <w:rPr>
                <w:rFonts w:ascii="Verdana" w:hAnsi="Verdana"/>
                <w:sz w:val="16"/>
                <w:szCs w:val="16"/>
              </w:rPr>
              <w:t>Omgeving</w:t>
            </w:r>
          </w:p>
        </w:tc>
        <w:tc>
          <w:tcPr>
            <w:tcW w:w="1474" w:type="dxa"/>
            <w:noWrap/>
            <w:hideMark/>
          </w:tcPr>
          <w:p w14:paraId="530E4C8B"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944.768 </w:t>
            </w:r>
          </w:p>
        </w:tc>
        <w:tc>
          <w:tcPr>
            <w:tcW w:w="1474" w:type="dxa"/>
            <w:noWrap/>
            <w:hideMark/>
          </w:tcPr>
          <w:p w14:paraId="669B4DEE"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268.208 </w:t>
            </w:r>
          </w:p>
        </w:tc>
        <w:tc>
          <w:tcPr>
            <w:tcW w:w="1474" w:type="dxa"/>
            <w:noWrap/>
            <w:hideMark/>
          </w:tcPr>
          <w:p w14:paraId="6F0990B4"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676.560 </w:t>
            </w:r>
          </w:p>
        </w:tc>
        <w:tc>
          <w:tcPr>
            <w:tcW w:w="1474" w:type="dxa"/>
            <w:noWrap/>
            <w:hideMark/>
          </w:tcPr>
          <w:p w14:paraId="5D014326" w14:textId="77777777" w:rsidR="00765907" w:rsidRPr="00765907" w:rsidRDefault="00765907" w:rsidP="00765907">
            <w:pPr>
              <w:jc w:val="both"/>
              <w:rPr>
                <w:rFonts w:ascii="Verdana" w:hAnsi="Verdana"/>
                <w:sz w:val="16"/>
                <w:szCs w:val="16"/>
              </w:rPr>
            </w:pPr>
          </w:p>
        </w:tc>
        <w:tc>
          <w:tcPr>
            <w:tcW w:w="1475" w:type="dxa"/>
            <w:noWrap/>
            <w:hideMark/>
          </w:tcPr>
          <w:p w14:paraId="1479E917" w14:textId="77777777" w:rsidR="00765907" w:rsidRPr="00765907" w:rsidRDefault="00765907" w:rsidP="00765907">
            <w:pPr>
              <w:jc w:val="both"/>
              <w:rPr>
                <w:rFonts w:ascii="Verdana" w:hAnsi="Verdana"/>
                <w:sz w:val="16"/>
                <w:szCs w:val="16"/>
              </w:rPr>
            </w:pPr>
          </w:p>
        </w:tc>
      </w:tr>
      <w:tr w:rsidR="00765907" w:rsidRPr="00765907" w14:paraId="1B7FB8CF" w14:textId="77777777" w:rsidTr="00765907">
        <w:trPr>
          <w:trHeight w:val="288"/>
        </w:trPr>
        <w:tc>
          <w:tcPr>
            <w:tcW w:w="1843" w:type="dxa"/>
            <w:noWrap/>
            <w:hideMark/>
          </w:tcPr>
          <w:p w14:paraId="439DE406" w14:textId="77777777" w:rsidR="00765907" w:rsidRPr="00765907" w:rsidRDefault="00765907" w:rsidP="00765907">
            <w:pPr>
              <w:jc w:val="both"/>
              <w:rPr>
                <w:rFonts w:ascii="Verdana" w:hAnsi="Verdana"/>
                <w:sz w:val="16"/>
                <w:szCs w:val="16"/>
              </w:rPr>
            </w:pPr>
            <w:r w:rsidRPr="00765907">
              <w:rPr>
                <w:rFonts w:ascii="Verdana" w:hAnsi="Verdana"/>
                <w:sz w:val="16"/>
                <w:szCs w:val="16"/>
              </w:rPr>
              <w:t>Onderwijs en Vorming</w:t>
            </w:r>
          </w:p>
        </w:tc>
        <w:tc>
          <w:tcPr>
            <w:tcW w:w="1474" w:type="dxa"/>
            <w:noWrap/>
            <w:hideMark/>
          </w:tcPr>
          <w:p w14:paraId="1B418243"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585.000 </w:t>
            </w:r>
          </w:p>
        </w:tc>
        <w:tc>
          <w:tcPr>
            <w:tcW w:w="1474" w:type="dxa"/>
            <w:noWrap/>
            <w:hideMark/>
          </w:tcPr>
          <w:p w14:paraId="3B2F1424"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213.040 </w:t>
            </w:r>
          </w:p>
        </w:tc>
        <w:tc>
          <w:tcPr>
            <w:tcW w:w="1474" w:type="dxa"/>
            <w:noWrap/>
            <w:hideMark/>
          </w:tcPr>
          <w:p w14:paraId="18246DB7"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371.960 </w:t>
            </w:r>
          </w:p>
        </w:tc>
        <w:tc>
          <w:tcPr>
            <w:tcW w:w="1474" w:type="dxa"/>
            <w:noWrap/>
            <w:hideMark/>
          </w:tcPr>
          <w:p w14:paraId="4891C7A4" w14:textId="77777777" w:rsidR="00765907" w:rsidRPr="00765907" w:rsidRDefault="00765907" w:rsidP="00765907">
            <w:pPr>
              <w:jc w:val="both"/>
              <w:rPr>
                <w:rFonts w:ascii="Verdana" w:hAnsi="Verdana"/>
                <w:sz w:val="16"/>
                <w:szCs w:val="16"/>
              </w:rPr>
            </w:pPr>
          </w:p>
        </w:tc>
        <w:tc>
          <w:tcPr>
            <w:tcW w:w="1475" w:type="dxa"/>
            <w:noWrap/>
          </w:tcPr>
          <w:p w14:paraId="1BA4C755" w14:textId="77777777" w:rsidR="00765907" w:rsidRPr="00765907" w:rsidRDefault="00765907" w:rsidP="00765907">
            <w:pPr>
              <w:jc w:val="both"/>
              <w:rPr>
                <w:rFonts w:ascii="Verdana" w:hAnsi="Verdana"/>
                <w:sz w:val="16"/>
                <w:szCs w:val="16"/>
              </w:rPr>
            </w:pPr>
          </w:p>
        </w:tc>
      </w:tr>
      <w:tr w:rsidR="00765907" w:rsidRPr="00765907" w14:paraId="4EA6A98F" w14:textId="77777777" w:rsidTr="00765907">
        <w:trPr>
          <w:trHeight w:val="288"/>
        </w:trPr>
        <w:tc>
          <w:tcPr>
            <w:tcW w:w="1843" w:type="dxa"/>
            <w:noWrap/>
            <w:hideMark/>
          </w:tcPr>
          <w:p w14:paraId="0DE1A822" w14:textId="77777777" w:rsidR="00765907" w:rsidRPr="00765907" w:rsidRDefault="00765907" w:rsidP="00765907">
            <w:pPr>
              <w:jc w:val="both"/>
              <w:rPr>
                <w:rFonts w:ascii="Verdana" w:hAnsi="Verdana"/>
                <w:sz w:val="16"/>
                <w:szCs w:val="16"/>
              </w:rPr>
            </w:pPr>
            <w:r w:rsidRPr="00765907">
              <w:rPr>
                <w:rFonts w:ascii="Verdana" w:hAnsi="Verdana"/>
                <w:sz w:val="16"/>
                <w:szCs w:val="16"/>
              </w:rPr>
              <w:t>Welzijn, Volksgezondheid en Gezin</w:t>
            </w:r>
          </w:p>
        </w:tc>
        <w:tc>
          <w:tcPr>
            <w:tcW w:w="1474" w:type="dxa"/>
            <w:noWrap/>
            <w:hideMark/>
          </w:tcPr>
          <w:p w14:paraId="24FBC60B"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328.000 </w:t>
            </w:r>
          </w:p>
        </w:tc>
        <w:tc>
          <w:tcPr>
            <w:tcW w:w="1474" w:type="dxa"/>
            <w:noWrap/>
            <w:hideMark/>
          </w:tcPr>
          <w:p w14:paraId="69E9557B"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328.000 </w:t>
            </w:r>
          </w:p>
        </w:tc>
        <w:tc>
          <w:tcPr>
            <w:tcW w:w="1474" w:type="dxa"/>
            <w:noWrap/>
            <w:hideMark/>
          </w:tcPr>
          <w:p w14:paraId="37814672" w14:textId="77777777" w:rsidR="00765907" w:rsidRPr="00765907" w:rsidRDefault="00765907" w:rsidP="00765907">
            <w:pPr>
              <w:jc w:val="both"/>
              <w:rPr>
                <w:rFonts w:ascii="Verdana" w:hAnsi="Verdana"/>
                <w:sz w:val="16"/>
                <w:szCs w:val="16"/>
              </w:rPr>
            </w:pPr>
          </w:p>
        </w:tc>
        <w:tc>
          <w:tcPr>
            <w:tcW w:w="1474" w:type="dxa"/>
            <w:noWrap/>
            <w:hideMark/>
          </w:tcPr>
          <w:p w14:paraId="7578596E" w14:textId="77777777" w:rsidR="00765907" w:rsidRPr="00765907" w:rsidRDefault="00765907" w:rsidP="00765907">
            <w:pPr>
              <w:jc w:val="both"/>
              <w:rPr>
                <w:rFonts w:ascii="Verdana" w:hAnsi="Verdana"/>
                <w:sz w:val="16"/>
                <w:szCs w:val="16"/>
              </w:rPr>
            </w:pPr>
          </w:p>
        </w:tc>
        <w:tc>
          <w:tcPr>
            <w:tcW w:w="1475" w:type="dxa"/>
            <w:noWrap/>
          </w:tcPr>
          <w:p w14:paraId="250BBEE2" w14:textId="77777777" w:rsidR="00765907" w:rsidRPr="00765907" w:rsidRDefault="00765907" w:rsidP="00765907">
            <w:pPr>
              <w:jc w:val="both"/>
              <w:rPr>
                <w:rFonts w:ascii="Verdana" w:hAnsi="Verdana"/>
                <w:sz w:val="16"/>
                <w:szCs w:val="16"/>
              </w:rPr>
            </w:pPr>
          </w:p>
        </w:tc>
      </w:tr>
      <w:tr w:rsidR="00765907" w:rsidRPr="00765907" w14:paraId="0159D023" w14:textId="77777777" w:rsidTr="00765907">
        <w:trPr>
          <w:trHeight w:val="288"/>
        </w:trPr>
        <w:tc>
          <w:tcPr>
            <w:tcW w:w="1843" w:type="dxa"/>
            <w:noWrap/>
            <w:hideMark/>
          </w:tcPr>
          <w:p w14:paraId="6AC3BB66" w14:textId="77777777" w:rsidR="00765907" w:rsidRPr="00765907" w:rsidRDefault="00765907" w:rsidP="00765907">
            <w:pPr>
              <w:jc w:val="both"/>
              <w:rPr>
                <w:rFonts w:ascii="Verdana" w:hAnsi="Verdana"/>
                <w:sz w:val="16"/>
                <w:szCs w:val="16"/>
              </w:rPr>
            </w:pPr>
            <w:r w:rsidRPr="00765907">
              <w:rPr>
                <w:rFonts w:ascii="Verdana" w:hAnsi="Verdana"/>
                <w:sz w:val="16"/>
                <w:szCs w:val="16"/>
              </w:rPr>
              <w:t>Werk en Sociale Economie</w:t>
            </w:r>
          </w:p>
        </w:tc>
        <w:tc>
          <w:tcPr>
            <w:tcW w:w="1474" w:type="dxa"/>
            <w:noWrap/>
            <w:hideMark/>
          </w:tcPr>
          <w:p w14:paraId="71F919D5"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240.000 </w:t>
            </w:r>
          </w:p>
        </w:tc>
        <w:tc>
          <w:tcPr>
            <w:tcW w:w="1474" w:type="dxa"/>
            <w:noWrap/>
            <w:hideMark/>
          </w:tcPr>
          <w:p w14:paraId="7C610227"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14.700 </w:t>
            </w:r>
          </w:p>
        </w:tc>
        <w:tc>
          <w:tcPr>
            <w:tcW w:w="1474" w:type="dxa"/>
            <w:noWrap/>
            <w:hideMark/>
          </w:tcPr>
          <w:p w14:paraId="309C8316"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168.300 </w:t>
            </w:r>
          </w:p>
        </w:tc>
        <w:tc>
          <w:tcPr>
            <w:tcW w:w="1474" w:type="dxa"/>
            <w:noWrap/>
            <w:hideMark/>
          </w:tcPr>
          <w:p w14:paraId="7F5DB2A3" w14:textId="77777777" w:rsidR="00765907" w:rsidRPr="00765907" w:rsidRDefault="00765907" w:rsidP="00765907">
            <w:pPr>
              <w:jc w:val="both"/>
              <w:rPr>
                <w:rFonts w:ascii="Verdana" w:hAnsi="Verdana"/>
                <w:sz w:val="16"/>
                <w:szCs w:val="16"/>
              </w:rPr>
            </w:pPr>
          </w:p>
        </w:tc>
        <w:tc>
          <w:tcPr>
            <w:tcW w:w="1475" w:type="dxa"/>
            <w:noWrap/>
            <w:hideMark/>
          </w:tcPr>
          <w:p w14:paraId="489B1AA4" w14:textId="77777777" w:rsidR="00765907" w:rsidRPr="00765907" w:rsidRDefault="00765907" w:rsidP="00765907">
            <w:pPr>
              <w:jc w:val="both"/>
              <w:rPr>
                <w:rFonts w:ascii="Verdana" w:hAnsi="Verdana"/>
                <w:sz w:val="16"/>
                <w:szCs w:val="16"/>
              </w:rPr>
            </w:pPr>
            <w:r w:rsidRPr="00765907">
              <w:rPr>
                <w:rFonts w:ascii="Verdana" w:hAnsi="Verdana"/>
                <w:sz w:val="16"/>
                <w:szCs w:val="16"/>
              </w:rPr>
              <w:t xml:space="preserve">57.000 </w:t>
            </w:r>
          </w:p>
        </w:tc>
      </w:tr>
    </w:tbl>
    <w:p w14:paraId="072F6719" w14:textId="7C716838" w:rsidR="00DD1B20" w:rsidRDefault="00DD1B20" w:rsidP="00DD1B20">
      <w:pPr>
        <w:jc w:val="both"/>
        <w:rPr>
          <w:rFonts w:ascii="Verdana" w:hAnsi="Verdana"/>
          <w:sz w:val="20"/>
          <w:szCs w:val="20"/>
        </w:rPr>
      </w:pPr>
    </w:p>
    <w:p w14:paraId="0DC46595" w14:textId="72DFD55B" w:rsidR="0096307B" w:rsidRDefault="0096307B" w:rsidP="0096307B">
      <w:pPr>
        <w:ind w:left="284"/>
        <w:jc w:val="both"/>
        <w:rPr>
          <w:rFonts w:ascii="Verdana" w:hAnsi="Verdana"/>
          <w:sz w:val="20"/>
          <w:szCs w:val="20"/>
        </w:rPr>
      </w:pPr>
      <w:r w:rsidRPr="0096307B">
        <w:rPr>
          <w:rFonts w:ascii="Verdana" w:hAnsi="Verdana"/>
          <w:sz w:val="20"/>
          <w:szCs w:val="20"/>
        </w:rPr>
        <w:t>Er zijn twee projecten waar twee beleidsdomeinen trekker zijn, VV103 (</w:t>
      </w:r>
      <w:proofErr w:type="spellStart"/>
      <w:r w:rsidRPr="0096307B">
        <w:rPr>
          <w:rFonts w:ascii="Verdana" w:hAnsi="Verdana"/>
          <w:sz w:val="20"/>
          <w:szCs w:val="20"/>
        </w:rPr>
        <w:t>Lantis</w:t>
      </w:r>
      <w:proofErr w:type="spellEnd"/>
      <w:r w:rsidRPr="0096307B">
        <w:rPr>
          <w:rFonts w:ascii="Verdana" w:hAnsi="Verdana"/>
          <w:sz w:val="20"/>
          <w:szCs w:val="20"/>
        </w:rPr>
        <w:t xml:space="preserve"> – </w:t>
      </w:r>
      <w:proofErr w:type="spellStart"/>
      <w:r w:rsidRPr="0096307B">
        <w:rPr>
          <w:rFonts w:ascii="Verdana" w:hAnsi="Verdana"/>
          <w:sz w:val="20"/>
          <w:szCs w:val="20"/>
        </w:rPr>
        <w:t>Pfos</w:t>
      </w:r>
      <w:proofErr w:type="spellEnd"/>
      <w:r w:rsidRPr="0096307B">
        <w:rPr>
          <w:rFonts w:ascii="Verdana" w:hAnsi="Verdana"/>
          <w:sz w:val="20"/>
          <w:szCs w:val="20"/>
        </w:rPr>
        <w:t xml:space="preserve"> vervuiling) en VV104 (Veerkrachtige steden – stadsvernieuwing). Gebaseerd op de respectievelijke inhoudelijke structuurelementen, werd in deze tabel VV103 ingedeeld onder Mobiliteit en Openbare Werken en VV104 onder Kanselarij, Bestuur, Buitenlandse Zaken en Justitie.</w:t>
      </w:r>
    </w:p>
    <w:p w14:paraId="554F6596" w14:textId="77777777" w:rsidR="0096307B" w:rsidRDefault="0096307B" w:rsidP="0096307B">
      <w:pPr>
        <w:ind w:left="284"/>
        <w:jc w:val="both"/>
        <w:rPr>
          <w:rFonts w:ascii="Verdana" w:hAnsi="Verdana"/>
          <w:sz w:val="20"/>
          <w:szCs w:val="20"/>
        </w:rPr>
      </w:pPr>
    </w:p>
    <w:p w14:paraId="668D9E2E" w14:textId="70A2EA1F" w:rsidR="00DD1B20" w:rsidRPr="00DD1B20" w:rsidRDefault="001B352F" w:rsidP="0096307B">
      <w:pPr>
        <w:ind w:left="284"/>
        <w:jc w:val="both"/>
        <w:rPr>
          <w:rFonts w:ascii="Verdana" w:hAnsi="Verdana"/>
          <w:sz w:val="20"/>
          <w:szCs w:val="20"/>
        </w:rPr>
      </w:pPr>
      <w:r>
        <w:rPr>
          <w:rFonts w:ascii="Verdana" w:hAnsi="Verdana"/>
          <w:sz w:val="20"/>
          <w:szCs w:val="20"/>
        </w:rPr>
        <w:t xml:space="preserve">Verder </w:t>
      </w:r>
      <w:r w:rsidR="00DD1B20" w:rsidRPr="00DD1B20">
        <w:rPr>
          <w:rFonts w:ascii="Verdana" w:hAnsi="Verdana"/>
          <w:sz w:val="20"/>
          <w:szCs w:val="20"/>
        </w:rPr>
        <w:t>moet rekening gehouden worden met het feit dat dit budgetoverzicht de huidige stand van zaken is uit de rapporteringstoepassing EMOE welke rekening houdt met gekende budgetverschuivingen tot en met de Vlaamse Regering van 10 november 2022. Daarnaast werd nog geen rekening gehouden met de verlaagde maximale financiële bijdrage die België zal ontvangen uit de Faciliteit voor Herstel en Veerkracht (RRF).</w:t>
      </w:r>
    </w:p>
    <w:p w14:paraId="46A4C456" w14:textId="77777777" w:rsidR="00AE4255" w:rsidRDefault="00AE4255" w:rsidP="00AE4255">
      <w:pPr>
        <w:jc w:val="both"/>
        <w:rPr>
          <w:rFonts w:ascii="Verdana" w:hAnsi="Verdana"/>
          <w:sz w:val="20"/>
          <w:szCs w:val="20"/>
        </w:rPr>
      </w:pPr>
    </w:p>
    <w:p w14:paraId="041C3D73" w14:textId="3B7AB12C" w:rsidR="00DD1B20" w:rsidRPr="00DD1B20" w:rsidRDefault="00DD1B20" w:rsidP="00821F0F">
      <w:pPr>
        <w:numPr>
          <w:ilvl w:val="0"/>
          <w:numId w:val="3"/>
        </w:numPr>
        <w:ind w:left="284" w:hanging="284"/>
        <w:jc w:val="both"/>
        <w:rPr>
          <w:rFonts w:ascii="Verdana" w:hAnsi="Verdana"/>
          <w:sz w:val="20"/>
          <w:szCs w:val="20"/>
        </w:rPr>
      </w:pPr>
      <w:r w:rsidRPr="00DD1B20">
        <w:rPr>
          <w:rFonts w:ascii="Verdana" w:hAnsi="Verdana"/>
          <w:sz w:val="20"/>
          <w:szCs w:val="20"/>
        </w:rPr>
        <w:t>In het kader van het beheer van de middelen die we ontvangen uit het RRF dienen door de beleidsdomeinen gegevens verzameld te worden over de eindbegunstigden, ten behoeve van controle en audit, overeenkomstig artikel 22, lid 2 van Verordening (EU) nr. 2021/241 (de ‘RRF-verordening’).</w:t>
      </w:r>
    </w:p>
    <w:p w14:paraId="4A6E0871" w14:textId="77777777" w:rsidR="00DD1B20" w:rsidRPr="00DD1B20" w:rsidRDefault="00DD1B20" w:rsidP="00DD1B20">
      <w:pPr>
        <w:ind w:left="284"/>
        <w:jc w:val="both"/>
        <w:rPr>
          <w:rFonts w:ascii="Verdana" w:hAnsi="Verdana"/>
          <w:sz w:val="20"/>
          <w:szCs w:val="20"/>
        </w:rPr>
      </w:pPr>
    </w:p>
    <w:p w14:paraId="7A46C292" w14:textId="764BE226" w:rsidR="00DD1B20" w:rsidRPr="00DD1B20" w:rsidRDefault="00DD1B20" w:rsidP="00DD1B20">
      <w:pPr>
        <w:ind w:left="284"/>
        <w:jc w:val="both"/>
        <w:rPr>
          <w:rFonts w:ascii="Verdana" w:hAnsi="Verdana"/>
          <w:sz w:val="20"/>
          <w:szCs w:val="20"/>
        </w:rPr>
      </w:pPr>
      <w:r w:rsidRPr="00DD1B20">
        <w:rPr>
          <w:rFonts w:ascii="Verdana" w:hAnsi="Verdana"/>
          <w:sz w:val="20"/>
          <w:szCs w:val="20"/>
        </w:rPr>
        <w:t xml:space="preserve">Onze systemen laten op dit moment niet toe om automatisch een volledig overzicht te genereren van alle ontvangers van de middelen van Vlaamse Veerkracht. Het merendeel van de betalingen vanuit de Vlaamse Overheid wordt in het boekhoudsysteem </w:t>
      </w:r>
      <w:proofErr w:type="spellStart"/>
      <w:r w:rsidRPr="00DD1B20">
        <w:rPr>
          <w:rFonts w:ascii="Verdana" w:hAnsi="Verdana"/>
          <w:sz w:val="20"/>
          <w:szCs w:val="20"/>
        </w:rPr>
        <w:t>Orafin</w:t>
      </w:r>
      <w:proofErr w:type="spellEnd"/>
      <w:r w:rsidRPr="00DD1B20">
        <w:rPr>
          <w:rFonts w:ascii="Verdana" w:hAnsi="Verdana"/>
          <w:sz w:val="20"/>
          <w:szCs w:val="20"/>
        </w:rPr>
        <w:t xml:space="preserve"> geregistreerd. Echter, op dit moment werken niet alle entiteiten met </w:t>
      </w:r>
      <w:proofErr w:type="spellStart"/>
      <w:r w:rsidRPr="00DD1B20">
        <w:rPr>
          <w:rFonts w:ascii="Verdana" w:hAnsi="Verdana"/>
          <w:sz w:val="20"/>
          <w:szCs w:val="20"/>
        </w:rPr>
        <w:t>Orafin</w:t>
      </w:r>
      <w:proofErr w:type="spellEnd"/>
      <w:r w:rsidRPr="00DD1B20">
        <w:rPr>
          <w:rFonts w:ascii="Verdana" w:hAnsi="Verdana"/>
          <w:sz w:val="20"/>
          <w:szCs w:val="20"/>
        </w:rPr>
        <w:t xml:space="preserve">. </w:t>
      </w:r>
    </w:p>
    <w:p w14:paraId="07A34DFC" w14:textId="77777777" w:rsidR="00DD1B20" w:rsidRPr="00DD1B20" w:rsidRDefault="00DD1B20" w:rsidP="00DD1B20">
      <w:pPr>
        <w:ind w:left="284"/>
        <w:jc w:val="both"/>
        <w:rPr>
          <w:rFonts w:ascii="Verdana" w:hAnsi="Verdana"/>
          <w:sz w:val="20"/>
          <w:szCs w:val="20"/>
        </w:rPr>
      </w:pPr>
    </w:p>
    <w:p w14:paraId="5488F71C" w14:textId="53BE9BF3" w:rsidR="00DD1B20" w:rsidRDefault="001F1D47" w:rsidP="001F1D47">
      <w:pPr>
        <w:ind w:left="284"/>
        <w:jc w:val="both"/>
        <w:rPr>
          <w:rFonts w:ascii="Verdana" w:hAnsi="Verdana"/>
          <w:sz w:val="20"/>
          <w:szCs w:val="20"/>
        </w:rPr>
      </w:pPr>
      <w:r w:rsidRPr="00DD1B20">
        <w:rPr>
          <w:rFonts w:ascii="Verdana" w:hAnsi="Verdana"/>
          <w:sz w:val="20"/>
          <w:szCs w:val="20"/>
        </w:rPr>
        <w:t>Om mijlpaal 209 van het uitvoeringsbesluit van de Raad over het Belgische plan voor Herstel en Veerkracht af te dekken, wordt momenteel een register van eindbegunstigden opgesteld, waarin alle eindontvangers en eindbegunstigden van de EU-middelen worden opgenomen.</w:t>
      </w:r>
      <w:r w:rsidRPr="001F1D47">
        <w:rPr>
          <w:rFonts w:ascii="Verdana" w:hAnsi="Verdana"/>
          <w:sz w:val="20"/>
          <w:szCs w:val="20"/>
        </w:rPr>
        <w:t xml:space="preserve"> </w:t>
      </w:r>
      <w:r w:rsidRPr="00DD1B20">
        <w:rPr>
          <w:rFonts w:ascii="Verdana" w:hAnsi="Verdana"/>
          <w:sz w:val="20"/>
          <w:szCs w:val="20"/>
        </w:rPr>
        <w:t>Voor Vlaanderen</w:t>
      </w:r>
      <w:r w:rsidRPr="001F1D47">
        <w:rPr>
          <w:rFonts w:ascii="Verdana" w:hAnsi="Verdana"/>
          <w:sz w:val="20"/>
          <w:szCs w:val="20"/>
        </w:rPr>
        <w:t xml:space="preserve"> </w:t>
      </w:r>
      <w:r w:rsidRPr="00DD1B20">
        <w:rPr>
          <w:rFonts w:ascii="Verdana" w:hAnsi="Verdana"/>
          <w:sz w:val="20"/>
          <w:szCs w:val="20"/>
        </w:rPr>
        <w:t xml:space="preserve">wordt binnen </w:t>
      </w:r>
      <w:proofErr w:type="spellStart"/>
      <w:r w:rsidRPr="00DD1B20">
        <w:rPr>
          <w:rFonts w:ascii="Verdana" w:hAnsi="Verdana"/>
          <w:sz w:val="20"/>
          <w:szCs w:val="20"/>
        </w:rPr>
        <w:t>Orafin</w:t>
      </w:r>
      <w:proofErr w:type="spellEnd"/>
      <w:r>
        <w:rPr>
          <w:rFonts w:ascii="Verdana" w:hAnsi="Verdana"/>
          <w:sz w:val="20"/>
          <w:szCs w:val="20"/>
        </w:rPr>
        <w:t xml:space="preserve"> </w:t>
      </w:r>
      <w:r w:rsidRPr="00DD1B20">
        <w:rPr>
          <w:rFonts w:ascii="Verdana" w:hAnsi="Verdana"/>
          <w:sz w:val="20"/>
          <w:szCs w:val="20"/>
        </w:rPr>
        <w:t>een aparte toepassing in het kader van het RRF</w:t>
      </w:r>
      <w:r>
        <w:rPr>
          <w:rFonts w:ascii="Verdana" w:hAnsi="Verdana"/>
          <w:sz w:val="20"/>
          <w:szCs w:val="20"/>
        </w:rPr>
        <w:t xml:space="preserve"> </w:t>
      </w:r>
      <w:r w:rsidRPr="00DD1B20">
        <w:rPr>
          <w:rFonts w:ascii="Verdana" w:hAnsi="Verdana"/>
          <w:sz w:val="20"/>
          <w:szCs w:val="20"/>
        </w:rPr>
        <w:t xml:space="preserve">gecreëerd, </w:t>
      </w:r>
      <w:r w:rsidR="00F16869">
        <w:rPr>
          <w:rFonts w:ascii="Verdana" w:hAnsi="Verdana"/>
          <w:sz w:val="20"/>
          <w:szCs w:val="20"/>
        </w:rPr>
        <w:t xml:space="preserve">waarin </w:t>
      </w:r>
      <w:r w:rsidRPr="00DD1B20">
        <w:rPr>
          <w:rFonts w:ascii="Verdana" w:hAnsi="Verdana"/>
          <w:sz w:val="20"/>
          <w:szCs w:val="20"/>
        </w:rPr>
        <w:t>wel een overzicht van alle ontvangers gegenereerd</w:t>
      </w:r>
      <w:r w:rsidR="00F16869">
        <w:rPr>
          <w:rFonts w:ascii="Verdana" w:hAnsi="Verdana"/>
          <w:sz w:val="20"/>
          <w:szCs w:val="20"/>
        </w:rPr>
        <w:t xml:space="preserve"> zal kunnen</w:t>
      </w:r>
      <w:r w:rsidRPr="00DD1B20">
        <w:rPr>
          <w:rFonts w:ascii="Verdana" w:hAnsi="Verdana"/>
          <w:sz w:val="20"/>
          <w:szCs w:val="20"/>
        </w:rPr>
        <w:t xml:space="preserve"> worden.</w:t>
      </w:r>
      <w:r>
        <w:rPr>
          <w:rFonts w:ascii="Verdana" w:hAnsi="Verdana"/>
          <w:sz w:val="20"/>
          <w:szCs w:val="20"/>
        </w:rPr>
        <w:t xml:space="preserve"> </w:t>
      </w:r>
      <w:r w:rsidR="00DD1B20" w:rsidRPr="00DD1B20">
        <w:rPr>
          <w:rFonts w:ascii="Verdana" w:hAnsi="Verdana"/>
          <w:sz w:val="20"/>
          <w:szCs w:val="20"/>
        </w:rPr>
        <w:t>De lijst van eindbegunstigden bevat evenwel persoonsgegevens en is dus onderhevig aan de regelgeving in de Algemene Verordening Gegevensbescherming (AVG).</w:t>
      </w:r>
    </w:p>
    <w:p w14:paraId="744289A3" w14:textId="527190A5" w:rsidR="00DD1B20" w:rsidRPr="00DD1B20" w:rsidRDefault="00DD1B20" w:rsidP="00F03547">
      <w:pPr>
        <w:jc w:val="both"/>
        <w:rPr>
          <w:rFonts w:ascii="Verdana" w:hAnsi="Verdana"/>
          <w:sz w:val="20"/>
          <w:szCs w:val="20"/>
        </w:rPr>
      </w:pPr>
    </w:p>
    <w:p w14:paraId="4263E634" w14:textId="6EDE28D5" w:rsidR="00AF58AC" w:rsidRPr="00AF58AC" w:rsidRDefault="00AF58AC" w:rsidP="00AF58AC">
      <w:pPr>
        <w:numPr>
          <w:ilvl w:val="0"/>
          <w:numId w:val="3"/>
        </w:numPr>
        <w:ind w:left="284" w:hanging="284"/>
        <w:jc w:val="both"/>
        <w:rPr>
          <w:rFonts w:ascii="Verdana" w:hAnsi="Verdana"/>
          <w:sz w:val="20"/>
          <w:szCs w:val="20"/>
        </w:rPr>
      </w:pPr>
      <w:r w:rsidRPr="00AF58AC">
        <w:rPr>
          <w:rFonts w:ascii="Verdana" w:hAnsi="Verdana"/>
          <w:sz w:val="20"/>
          <w:szCs w:val="20"/>
        </w:rPr>
        <w:t>Het is niet mogelijk op niveau van de ontvanger een onderscheid te maken op basis van de bron van de middelen</w:t>
      </w:r>
      <w:r w:rsidR="001B352F">
        <w:rPr>
          <w:rFonts w:ascii="Verdana" w:hAnsi="Verdana"/>
          <w:sz w:val="20"/>
          <w:szCs w:val="20"/>
        </w:rPr>
        <w:t>. D</w:t>
      </w:r>
      <w:r w:rsidRPr="00AF58AC">
        <w:rPr>
          <w:rFonts w:ascii="Verdana" w:hAnsi="Verdana"/>
          <w:sz w:val="20"/>
          <w:szCs w:val="20"/>
        </w:rPr>
        <w:t xml:space="preserve">at kan wel op niveau van de projecten. </w:t>
      </w:r>
    </w:p>
    <w:p w14:paraId="0D831DE7" w14:textId="77777777" w:rsidR="00AF58AC" w:rsidRPr="00AF58AC" w:rsidRDefault="00AF58AC" w:rsidP="00AF58AC">
      <w:pPr>
        <w:ind w:left="284"/>
        <w:jc w:val="both"/>
        <w:rPr>
          <w:rFonts w:ascii="Verdana" w:hAnsi="Verdana"/>
          <w:sz w:val="20"/>
          <w:szCs w:val="20"/>
        </w:rPr>
      </w:pPr>
    </w:p>
    <w:p w14:paraId="7A1EE58E" w14:textId="77777777" w:rsidR="00AF58AC" w:rsidRPr="00AF58AC" w:rsidRDefault="00AF58AC" w:rsidP="00AF58AC">
      <w:pPr>
        <w:ind w:left="284"/>
        <w:jc w:val="both"/>
        <w:rPr>
          <w:rFonts w:ascii="Verdana" w:hAnsi="Verdana"/>
          <w:sz w:val="20"/>
          <w:szCs w:val="20"/>
        </w:rPr>
      </w:pPr>
      <w:r w:rsidRPr="00AF58AC">
        <w:rPr>
          <w:rFonts w:ascii="Verdana" w:hAnsi="Verdana"/>
          <w:sz w:val="20"/>
          <w:szCs w:val="20"/>
        </w:rPr>
        <w:t xml:space="preserve">Om het Vlaams Relanceplan ‘Vlaamse Veerkracht’ professioneel te kunnen monitoren, zijn een duidelijke </w:t>
      </w:r>
      <w:proofErr w:type="spellStart"/>
      <w:r w:rsidRPr="00AF58AC">
        <w:rPr>
          <w:rFonts w:ascii="Verdana" w:hAnsi="Verdana"/>
          <w:sz w:val="20"/>
          <w:szCs w:val="20"/>
        </w:rPr>
        <w:t>governancestructuur</w:t>
      </w:r>
      <w:proofErr w:type="spellEnd"/>
      <w:r w:rsidRPr="00AF58AC">
        <w:rPr>
          <w:rFonts w:ascii="Verdana" w:hAnsi="Verdana"/>
          <w:sz w:val="20"/>
          <w:szCs w:val="20"/>
        </w:rPr>
        <w:t xml:space="preserve"> en periodieke meetmomenten. In 2021 waren er drie meetmomenten (maart 2021, september 2021 en december 2021). In 2022 zijn er twee meetmomenten (juni 2022 en december 2022). Deze rapporten worden telkens als Mededeling aan de Vlaamse Regering geagendeerd. Ze zijn volledig publiek en geven inzicht in de projecten en de voortgang van de implementatie. In deze monitoringrapporten kan de oorsprong van de middelen per project worden teruggevonden, evenals de status van de implementatie van de projecten.</w:t>
      </w:r>
    </w:p>
    <w:p w14:paraId="0E597319" w14:textId="77777777" w:rsidR="00AF58AC" w:rsidRPr="00AF58AC" w:rsidRDefault="00AF58AC" w:rsidP="00AF58AC">
      <w:pPr>
        <w:ind w:left="284"/>
        <w:jc w:val="both"/>
        <w:rPr>
          <w:rFonts w:ascii="Verdana" w:hAnsi="Verdana"/>
          <w:sz w:val="20"/>
          <w:szCs w:val="20"/>
        </w:rPr>
      </w:pPr>
    </w:p>
    <w:p w14:paraId="351527C1" w14:textId="18A138F6" w:rsidR="00AF58AC" w:rsidRDefault="00AF58AC" w:rsidP="00AF58AC">
      <w:pPr>
        <w:ind w:left="284"/>
        <w:jc w:val="both"/>
        <w:rPr>
          <w:rFonts w:ascii="Verdana" w:hAnsi="Verdana"/>
          <w:sz w:val="20"/>
          <w:szCs w:val="20"/>
        </w:rPr>
      </w:pPr>
      <w:r w:rsidRPr="00AF58AC">
        <w:rPr>
          <w:rFonts w:ascii="Verdana" w:hAnsi="Verdana"/>
          <w:sz w:val="20"/>
          <w:szCs w:val="20"/>
        </w:rPr>
        <w:t xml:space="preserve">Daarbij moet worden vermeld dat EU financiering niet rechtstreeks naar de projecten vloeit. In de Vlaamse begroting 2021 werd een algemene relanceprovisie van 4,3 miljard euro ingeschreven ter financiering van het plan ‘Vlaamse Veerkracht’ van de Vlaamse Regering. De RRF-middelen worden centraal ontvangen en gebruikt om de Relanceprovisie, van waaruit de projecten worden </w:t>
      </w:r>
      <w:proofErr w:type="spellStart"/>
      <w:r w:rsidRPr="00AF58AC">
        <w:rPr>
          <w:rFonts w:ascii="Verdana" w:hAnsi="Verdana"/>
          <w:sz w:val="20"/>
          <w:szCs w:val="20"/>
        </w:rPr>
        <w:t>geprefinancierd</w:t>
      </w:r>
      <w:proofErr w:type="spellEnd"/>
      <w:r w:rsidRPr="00AF58AC">
        <w:rPr>
          <w:rFonts w:ascii="Verdana" w:hAnsi="Verdana"/>
          <w:sz w:val="20"/>
          <w:szCs w:val="20"/>
        </w:rPr>
        <w:t>, aan te zuiveren.</w:t>
      </w:r>
    </w:p>
    <w:p w14:paraId="10E5D39C" w14:textId="2083E1C8" w:rsidR="00AF58AC" w:rsidRDefault="00AF58AC" w:rsidP="00DD1B20">
      <w:pPr>
        <w:ind w:left="284"/>
        <w:jc w:val="both"/>
        <w:rPr>
          <w:rFonts w:ascii="Verdana" w:hAnsi="Verdana"/>
          <w:sz w:val="20"/>
          <w:szCs w:val="20"/>
        </w:rPr>
      </w:pPr>
    </w:p>
    <w:p w14:paraId="015F8CDD" w14:textId="194360FE" w:rsidR="00AF58AC" w:rsidRPr="00DD1B20" w:rsidRDefault="00AF58AC" w:rsidP="00AF58AC">
      <w:pPr>
        <w:numPr>
          <w:ilvl w:val="0"/>
          <w:numId w:val="3"/>
        </w:numPr>
        <w:ind w:left="284" w:hanging="284"/>
        <w:jc w:val="both"/>
        <w:rPr>
          <w:rFonts w:ascii="Verdana" w:hAnsi="Verdana"/>
          <w:sz w:val="20"/>
          <w:szCs w:val="20"/>
        </w:rPr>
      </w:pPr>
      <w:r w:rsidRPr="00DD1B20">
        <w:rPr>
          <w:rFonts w:ascii="Verdana" w:hAnsi="Verdana"/>
          <w:sz w:val="20"/>
          <w:szCs w:val="20"/>
        </w:rPr>
        <w:t>Zoals hierboven aangehaald, wordt de voortgang van Vlaamse Veerkracht zeer nauw opgevolgd via periodieke monitoringrapporten.</w:t>
      </w:r>
    </w:p>
    <w:p w14:paraId="7E797A49" w14:textId="15555169" w:rsidR="00AF58AC" w:rsidRDefault="00AF58AC" w:rsidP="00DD1B20">
      <w:pPr>
        <w:ind w:left="284"/>
        <w:jc w:val="both"/>
        <w:rPr>
          <w:rFonts w:ascii="Verdana" w:hAnsi="Verdana"/>
          <w:sz w:val="20"/>
          <w:szCs w:val="20"/>
        </w:rPr>
      </w:pPr>
    </w:p>
    <w:p w14:paraId="0520EB9C" w14:textId="1D7F69FC" w:rsidR="00AF58AC" w:rsidRDefault="00AF58AC" w:rsidP="00DD1B20">
      <w:pPr>
        <w:ind w:left="284"/>
        <w:jc w:val="both"/>
        <w:rPr>
          <w:rFonts w:ascii="Verdana" w:hAnsi="Verdana"/>
          <w:sz w:val="20"/>
          <w:szCs w:val="20"/>
        </w:rPr>
      </w:pPr>
      <w:r w:rsidRPr="00AF58AC">
        <w:rPr>
          <w:rFonts w:ascii="Verdana" w:hAnsi="Verdana"/>
          <w:sz w:val="20"/>
          <w:szCs w:val="20"/>
        </w:rPr>
        <w:t xml:space="preserve">Volgens het laatste Monitoringrapport van juni 2022 was er 2 miljard euro of 46,5 procent van de 4,3 miljard euro aan relancemiddelen vastgelegd en 446 miljoen euro of 10 procent vereffend. </w:t>
      </w:r>
      <w:r w:rsidR="00F03547">
        <w:rPr>
          <w:rFonts w:ascii="Verdana" w:hAnsi="Verdana"/>
          <w:sz w:val="20"/>
          <w:szCs w:val="20"/>
        </w:rPr>
        <w:t xml:space="preserve">Voor </w:t>
      </w:r>
      <w:r w:rsidRPr="00AF58AC">
        <w:rPr>
          <w:rFonts w:ascii="Verdana" w:hAnsi="Verdana"/>
          <w:sz w:val="20"/>
          <w:szCs w:val="20"/>
        </w:rPr>
        <w:t>bijkomende toelichting verwijs ik naar de verschillende meetmomenten en voortgangsrapporteringen, waarin kan worden nagegaan hoeveel per project werd vastgelegd en hoeveel reeds werd vereffend.</w:t>
      </w:r>
    </w:p>
    <w:p w14:paraId="7C26E2D8" w14:textId="4C63083B" w:rsidR="00AF58AC" w:rsidRDefault="00AF58AC" w:rsidP="00DD1B20">
      <w:pPr>
        <w:ind w:left="284"/>
        <w:jc w:val="both"/>
        <w:rPr>
          <w:rFonts w:ascii="Verdana" w:hAnsi="Verdana"/>
          <w:sz w:val="20"/>
          <w:szCs w:val="20"/>
        </w:rPr>
      </w:pPr>
    </w:p>
    <w:p w14:paraId="72C461DA" w14:textId="6D8BEF13" w:rsidR="00821F0F" w:rsidRPr="00821F0F" w:rsidRDefault="00AF0530" w:rsidP="00C72F07">
      <w:pPr>
        <w:numPr>
          <w:ilvl w:val="0"/>
          <w:numId w:val="3"/>
        </w:numPr>
        <w:ind w:left="284" w:hanging="284"/>
        <w:jc w:val="both"/>
        <w:rPr>
          <w:rFonts w:ascii="Verdana" w:hAnsi="Verdana"/>
          <w:sz w:val="20"/>
          <w:szCs w:val="20"/>
        </w:rPr>
      </w:pPr>
      <w:r>
        <w:rPr>
          <w:rFonts w:ascii="Verdana" w:hAnsi="Verdana"/>
          <w:sz w:val="20"/>
          <w:szCs w:val="20"/>
        </w:rPr>
        <w:t xml:space="preserve">Op dit moment is het niet mogelijk automatisch een overzicht te generen van </w:t>
      </w:r>
      <w:r w:rsidR="007C78D5">
        <w:rPr>
          <w:rFonts w:ascii="Verdana" w:hAnsi="Verdana"/>
          <w:sz w:val="20"/>
          <w:szCs w:val="20"/>
        </w:rPr>
        <w:t xml:space="preserve">adviesbureaus (zie het antwoord op vraag 2). </w:t>
      </w:r>
      <w:r w:rsidR="004072CF">
        <w:rPr>
          <w:rFonts w:ascii="Verdana" w:hAnsi="Verdana"/>
          <w:sz w:val="20"/>
          <w:szCs w:val="20"/>
        </w:rPr>
        <w:t>In het kader van</w:t>
      </w:r>
      <w:r w:rsidR="00821F0F" w:rsidRPr="00821F0F">
        <w:rPr>
          <w:rFonts w:ascii="Verdana" w:hAnsi="Verdana"/>
          <w:sz w:val="20"/>
          <w:szCs w:val="20"/>
        </w:rPr>
        <w:t xml:space="preserve"> de coördinatie </w:t>
      </w:r>
      <w:r w:rsidR="00C72F07">
        <w:rPr>
          <w:rFonts w:ascii="Verdana" w:hAnsi="Verdana"/>
          <w:sz w:val="20"/>
          <w:szCs w:val="20"/>
        </w:rPr>
        <w:t>en opvolging van</w:t>
      </w:r>
      <w:r w:rsidR="00821F0F" w:rsidRPr="00821F0F">
        <w:rPr>
          <w:rFonts w:ascii="Verdana" w:hAnsi="Verdana"/>
          <w:sz w:val="20"/>
          <w:szCs w:val="20"/>
        </w:rPr>
        <w:t xml:space="preserve"> </w:t>
      </w:r>
      <w:r w:rsidR="0096307B">
        <w:rPr>
          <w:rFonts w:ascii="Verdana" w:hAnsi="Verdana"/>
          <w:sz w:val="20"/>
          <w:szCs w:val="20"/>
        </w:rPr>
        <w:t>Vlaamse</w:t>
      </w:r>
      <w:r w:rsidR="00821F0F" w:rsidRPr="00821F0F">
        <w:rPr>
          <w:rFonts w:ascii="Verdana" w:hAnsi="Verdana"/>
          <w:sz w:val="20"/>
          <w:szCs w:val="20"/>
        </w:rPr>
        <w:t xml:space="preserve"> Veerkracht</w:t>
      </w:r>
      <w:r w:rsidR="00821F0F" w:rsidRPr="00C72F07">
        <w:rPr>
          <w:rFonts w:ascii="Verdana" w:hAnsi="Verdana"/>
          <w:sz w:val="20"/>
          <w:szCs w:val="20"/>
        </w:rPr>
        <w:t xml:space="preserve"> </w:t>
      </w:r>
      <w:r w:rsidR="004072CF">
        <w:rPr>
          <w:rFonts w:ascii="Verdana" w:hAnsi="Verdana"/>
          <w:sz w:val="20"/>
          <w:szCs w:val="20"/>
        </w:rPr>
        <w:t xml:space="preserve">heeft het </w:t>
      </w:r>
      <w:r w:rsidR="004072CF" w:rsidRPr="004072CF">
        <w:rPr>
          <w:rFonts w:ascii="Verdana" w:hAnsi="Verdana"/>
          <w:sz w:val="20"/>
          <w:szCs w:val="20"/>
        </w:rPr>
        <w:t>Departement Kanselarij en Buitenlandse Zake</w:t>
      </w:r>
      <w:r w:rsidR="001B352F">
        <w:rPr>
          <w:rFonts w:ascii="Verdana" w:hAnsi="Verdana"/>
          <w:sz w:val="20"/>
          <w:szCs w:val="20"/>
        </w:rPr>
        <w:t>n</w:t>
      </w:r>
      <w:r w:rsidR="00821F0F" w:rsidRPr="00C72F07">
        <w:rPr>
          <w:rFonts w:ascii="Verdana" w:hAnsi="Verdana"/>
          <w:sz w:val="20"/>
          <w:szCs w:val="20"/>
        </w:rPr>
        <w:t xml:space="preserve"> volgende </w:t>
      </w:r>
      <w:r w:rsidR="00C72F07">
        <w:rPr>
          <w:rFonts w:ascii="Verdana" w:hAnsi="Verdana"/>
          <w:sz w:val="20"/>
          <w:szCs w:val="20"/>
        </w:rPr>
        <w:t xml:space="preserve">opdrachten toegekend aan adviesbureaus: </w:t>
      </w:r>
    </w:p>
    <w:p w14:paraId="72EAD956" w14:textId="77777777" w:rsidR="00821F0F" w:rsidRPr="00821F0F" w:rsidRDefault="00821F0F" w:rsidP="00821F0F">
      <w:pPr>
        <w:ind w:left="284"/>
        <w:jc w:val="both"/>
        <w:rPr>
          <w:rFonts w:ascii="Verdana" w:hAnsi="Verdana"/>
          <w:sz w:val="20"/>
          <w:szCs w:val="20"/>
        </w:rPr>
      </w:pPr>
    </w:p>
    <w:p w14:paraId="36A09CDF" w14:textId="7519C90B" w:rsidR="00821F0F" w:rsidRPr="00821F0F" w:rsidRDefault="00821F0F" w:rsidP="00821F0F">
      <w:pPr>
        <w:numPr>
          <w:ilvl w:val="0"/>
          <w:numId w:val="9"/>
        </w:numPr>
        <w:jc w:val="both"/>
        <w:rPr>
          <w:rFonts w:ascii="Verdana" w:hAnsi="Verdana"/>
          <w:sz w:val="20"/>
          <w:szCs w:val="20"/>
        </w:rPr>
      </w:pPr>
      <w:r w:rsidRPr="00821F0F">
        <w:rPr>
          <w:rFonts w:ascii="Verdana" w:hAnsi="Verdana"/>
          <w:sz w:val="20"/>
          <w:szCs w:val="20"/>
        </w:rPr>
        <w:t>IDEA consult: opdracht ‘Economische Veerkracht’. Hiervoor is een budget van 98.857 EUR voorzien (opdracht is gestart in 2022 en loopt tot het voorjaar van 2023).</w:t>
      </w:r>
    </w:p>
    <w:p w14:paraId="4AAEEEC1" w14:textId="1FF6E086" w:rsidR="00821F0F" w:rsidRPr="00821F0F" w:rsidRDefault="00821F0F" w:rsidP="00821F0F">
      <w:pPr>
        <w:numPr>
          <w:ilvl w:val="0"/>
          <w:numId w:val="9"/>
        </w:numPr>
        <w:jc w:val="both"/>
        <w:rPr>
          <w:rFonts w:ascii="Verdana" w:hAnsi="Verdana"/>
          <w:sz w:val="20"/>
          <w:szCs w:val="20"/>
        </w:rPr>
      </w:pPr>
      <w:proofErr w:type="spellStart"/>
      <w:r w:rsidRPr="00821F0F">
        <w:rPr>
          <w:rFonts w:ascii="Verdana" w:hAnsi="Verdana"/>
          <w:sz w:val="20"/>
          <w:szCs w:val="20"/>
        </w:rPr>
        <w:t>Sustenuto</w:t>
      </w:r>
      <w:proofErr w:type="spellEnd"/>
      <w:r w:rsidRPr="00821F0F">
        <w:rPr>
          <w:rFonts w:ascii="Verdana" w:hAnsi="Verdana"/>
          <w:sz w:val="20"/>
          <w:szCs w:val="20"/>
        </w:rPr>
        <w:t xml:space="preserve">: ondersteuning aangaande de toepassing van ‘do no significant </w:t>
      </w:r>
      <w:proofErr w:type="spellStart"/>
      <w:r w:rsidRPr="00821F0F">
        <w:rPr>
          <w:rFonts w:ascii="Verdana" w:hAnsi="Verdana"/>
          <w:sz w:val="20"/>
          <w:szCs w:val="20"/>
        </w:rPr>
        <w:t>harm</w:t>
      </w:r>
      <w:proofErr w:type="spellEnd"/>
      <w:r w:rsidRPr="00821F0F">
        <w:rPr>
          <w:rFonts w:ascii="Verdana" w:hAnsi="Verdana"/>
          <w:sz w:val="20"/>
          <w:szCs w:val="20"/>
        </w:rPr>
        <w:t>’</w:t>
      </w:r>
      <w:r w:rsidR="00C3223A">
        <w:rPr>
          <w:rFonts w:ascii="Verdana" w:hAnsi="Verdana"/>
          <w:sz w:val="20"/>
          <w:szCs w:val="20"/>
        </w:rPr>
        <w:t xml:space="preserve">-principe </w:t>
      </w:r>
      <w:r w:rsidRPr="00821F0F">
        <w:rPr>
          <w:rFonts w:ascii="Verdana" w:hAnsi="Verdana"/>
          <w:sz w:val="20"/>
          <w:szCs w:val="20"/>
        </w:rPr>
        <w:t xml:space="preserve">(DNSH). Hiervoor is een maximumbudget van 135.000 </w:t>
      </w:r>
      <w:r w:rsidR="00F51E5B">
        <w:rPr>
          <w:rFonts w:ascii="Verdana" w:hAnsi="Verdana"/>
          <w:sz w:val="20"/>
          <w:szCs w:val="20"/>
        </w:rPr>
        <w:t>EUR</w:t>
      </w:r>
      <w:r w:rsidRPr="00821F0F">
        <w:rPr>
          <w:rFonts w:ascii="Verdana" w:hAnsi="Verdana"/>
          <w:sz w:val="20"/>
          <w:szCs w:val="20"/>
        </w:rPr>
        <w:t xml:space="preserve"> (excl. btw) voorzien</w:t>
      </w:r>
      <w:r w:rsidR="00F51E5B">
        <w:rPr>
          <w:rFonts w:ascii="Verdana" w:hAnsi="Verdana"/>
          <w:sz w:val="20"/>
          <w:szCs w:val="20"/>
        </w:rPr>
        <w:t>.</w:t>
      </w:r>
      <w:r w:rsidRPr="00821F0F">
        <w:rPr>
          <w:rFonts w:ascii="Verdana" w:hAnsi="Verdana"/>
          <w:sz w:val="20"/>
          <w:szCs w:val="20"/>
        </w:rPr>
        <w:t xml:space="preserve"> </w:t>
      </w:r>
    </w:p>
    <w:p w14:paraId="340A307D" w14:textId="75E27E3C" w:rsidR="00821F0F" w:rsidRPr="00821F0F" w:rsidRDefault="00821F0F" w:rsidP="00821F0F">
      <w:pPr>
        <w:numPr>
          <w:ilvl w:val="0"/>
          <w:numId w:val="7"/>
        </w:numPr>
        <w:jc w:val="both"/>
        <w:rPr>
          <w:rFonts w:ascii="Verdana" w:hAnsi="Verdana"/>
          <w:sz w:val="20"/>
          <w:szCs w:val="20"/>
        </w:rPr>
      </w:pPr>
      <w:r w:rsidRPr="00821F0F">
        <w:rPr>
          <w:rFonts w:ascii="Verdana" w:hAnsi="Verdana"/>
          <w:sz w:val="20"/>
          <w:szCs w:val="20"/>
        </w:rPr>
        <w:t>LDV: opdracht communicatie binnen de raamovereenkomst "strategische (en creatieve) partner voor communicatie en marketing"</w:t>
      </w:r>
      <w:r w:rsidR="00F51E5B">
        <w:rPr>
          <w:rFonts w:ascii="Verdana" w:hAnsi="Verdana"/>
          <w:sz w:val="20"/>
          <w:szCs w:val="20"/>
        </w:rPr>
        <w:t xml:space="preserve">. Hiervoor is een budget van </w:t>
      </w:r>
      <w:r w:rsidR="00035FBD" w:rsidRPr="00F51E5B">
        <w:rPr>
          <w:rFonts w:ascii="Verdana" w:hAnsi="Verdana"/>
          <w:sz w:val="20"/>
          <w:szCs w:val="20"/>
        </w:rPr>
        <w:t>42.400,82</w:t>
      </w:r>
      <w:r w:rsidR="00035FBD">
        <w:rPr>
          <w:rFonts w:ascii="Verdana" w:hAnsi="Verdana"/>
          <w:sz w:val="20"/>
          <w:szCs w:val="20"/>
        </w:rPr>
        <w:t xml:space="preserve"> EUR </w:t>
      </w:r>
      <w:r w:rsidR="00F51E5B">
        <w:rPr>
          <w:rFonts w:ascii="Verdana" w:hAnsi="Verdana"/>
          <w:sz w:val="20"/>
          <w:szCs w:val="20"/>
        </w:rPr>
        <w:t>voorzien.</w:t>
      </w:r>
    </w:p>
    <w:p w14:paraId="05F3051A" w14:textId="405FB437" w:rsidR="00821F0F" w:rsidRPr="00F51E5B" w:rsidRDefault="00821F0F" w:rsidP="00F51E5B">
      <w:pPr>
        <w:numPr>
          <w:ilvl w:val="0"/>
          <w:numId w:val="7"/>
        </w:numPr>
        <w:jc w:val="both"/>
        <w:rPr>
          <w:rFonts w:ascii="Verdana" w:hAnsi="Verdana"/>
          <w:sz w:val="20"/>
          <w:szCs w:val="20"/>
        </w:rPr>
      </w:pPr>
      <w:r w:rsidRPr="00821F0F">
        <w:rPr>
          <w:rFonts w:ascii="Verdana" w:hAnsi="Verdana"/>
          <w:sz w:val="20"/>
          <w:szCs w:val="20"/>
        </w:rPr>
        <w:t xml:space="preserve">RCA: opdracht communicatie binnen de raamovereenkomst </w:t>
      </w:r>
      <w:r w:rsidR="00517407">
        <w:rPr>
          <w:rFonts w:ascii="Verdana" w:hAnsi="Verdana"/>
          <w:sz w:val="20"/>
          <w:szCs w:val="20"/>
        </w:rPr>
        <w:t>“</w:t>
      </w:r>
      <w:r w:rsidRPr="00821F0F">
        <w:rPr>
          <w:rFonts w:ascii="Verdana" w:hAnsi="Verdana"/>
          <w:sz w:val="20"/>
          <w:szCs w:val="20"/>
        </w:rPr>
        <w:t>risicomanagement, crisisoefeningen, crisiscommunicatie en reputatiemanagement</w:t>
      </w:r>
      <w:r w:rsidR="00517407">
        <w:rPr>
          <w:rFonts w:ascii="Verdana" w:hAnsi="Verdana"/>
          <w:sz w:val="20"/>
          <w:szCs w:val="20"/>
        </w:rPr>
        <w:t>”</w:t>
      </w:r>
      <w:r w:rsidRPr="00821F0F">
        <w:rPr>
          <w:rFonts w:ascii="Verdana" w:hAnsi="Verdana"/>
          <w:sz w:val="20"/>
          <w:szCs w:val="20"/>
        </w:rPr>
        <w:t>.</w:t>
      </w:r>
      <w:r w:rsidR="00F51E5B">
        <w:rPr>
          <w:rFonts w:ascii="Verdana" w:hAnsi="Verdana"/>
          <w:sz w:val="20"/>
          <w:szCs w:val="20"/>
        </w:rPr>
        <w:t xml:space="preserve"> Hiervoor is een budget van </w:t>
      </w:r>
      <w:r w:rsidR="00035FBD" w:rsidRPr="009D5E12">
        <w:rPr>
          <w:rFonts w:ascii="Verdana" w:hAnsi="Verdana"/>
          <w:sz w:val="20"/>
          <w:szCs w:val="20"/>
        </w:rPr>
        <w:t>23</w:t>
      </w:r>
      <w:r w:rsidR="00035FBD">
        <w:rPr>
          <w:rFonts w:ascii="Verdana" w:hAnsi="Verdana"/>
          <w:sz w:val="20"/>
          <w:szCs w:val="20"/>
        </w:rPr>
        <w:t>.</w:t>
      </w:r>
      <w:r w:rsidR="00035FBD" w:rsidRPr="009D5E12">
        <w:rPr>
          <w:rFonts w:ascii="Verdana" w:hAnsi="Verdana"/>
          <w:sz w:val="20"/>
          <w:szCs w:val="20"/>
        </w:rPr>
        <w:t>086</w:t>
      </w:r>
      <w:r w:rsidR="00035FBD">
        <w:rPr>
          <w:rFonts w:ascii="Verdana" w:hAnsi="Verdana"/>
          <w:sz w:val="20"/>
          <w:szCs w:val="20"/>
        </w:rPr>
        <w:t>,</w:t>
      </w:r>
      <w:r w:rsidR="00035FBD" w:rsidRPr="009D5E12">
        <w:rPr>
          <w:rFonts w:ascii="Verdana" w:hAnsi="Verdana"/>
          <w:sz w:val="20"/>
          <w:szCs w:val="20"/>
        </w:rPr>
        <w:t>80</w:t>
      </w:r>
      <w:r w:rsidR="00035FBD">
        <w:rPr>
          <w:rFonts w:ascii="Verdana" w:hAnsi="Verdana"/>
          <w:sz w:val="20"/>
          <w:szCs w:val="20"/>
        </w:rPr>
        <w:t xml:space="preserve"> EUR</w:t>
      </w:r>
      <w:r w:rsidR="00035FBD" w:rsidRPr="00F51E5B">
        <w:rPr>
          <w:rFonts w:ascii="Verdana" w:hAnsi="Verdana"/>
          <w:sz w:val="20"/>
          <w:szCs w:val="20"/>
        </w:rPr>
        <w:t xml:space="preserve"> </w:t>
      </w:r>
      <w:r w:rsidR="00F51E5B">
        <w:rPr>
          <w:rFonts w:ascii="Verdana" w:hAnsi="Verdana"/>
          <w:sz w:val="20"/>
          <w:szCs w:val="20"/>
        </w:rPr>
        <w:t xml:space="preserve">voorzien. </w:t>
      </w:r>
    </w:p>
    <w:p w14:paraId="109F87DD" w14:textId="77777777" w:rsidR="00F03547" w:rsidRDefault="00F03547" w:rsidP="006C767A">
      <w:pPr>
        <w:ind w:left="284"/>
        <w:jc w:val="both"/>
        <w:rPr>
          <w:rFonts w:ascii="Verdana" w:hAnsi="Verdana"/>
          <w:sz w:val="20"/>
          <w:szCs w:val="20"/>
        </w:rPr>
      </w:pPr>
    </w:p>
    <w:p w14:paraId="7C3878AF" w14:textId="0CEB6C3B" w:rsidR="006C767A" w:rsidRDefault="001F1D47" w:rsidP="006C767A">
      <w:pPr>
        <w:ind w:left="284"/>
        <w:jc w:val="both"/>
        <w:rPr>
          <w:rFonts w:ascii="Verdana" w:hAnsi="Verdana"/>
          <w:sz w:val="20"/>
          <w:szCs w:val="20"/>
        </w:rPr>
      </w:pPr>
      <w:r>
        <w:rPr>
          <w:rFonts w:ascii="Verdana" w:hAnsi="Verdana"/>
          <w:sz w:val="20"/>
          <w:szCs w:val="20"/>
        </w:rPr>
        <w:t>Dit overzicht omvat</w:t>
      </w:r>
      <w:r w:rsidR="006C767A">
        <w:rPr>
          <w:rFonts w:ascii="Verdana" w:hAnsi="Verdana"/>
          <w:sz w:val="20"/>
          <w:szCs w:val="20"/>
        </w:rPr>
        <w:t xml:space="preserve"> enkel </w:t>
      </w:r>
      <w:r w:rsidR="006C767A" w:rsidRPr="006C767A">
        <w:rPr>
          <w:rFonts w:ascii="Verdana" w:hAnsi="Verdana"/>
          <w:sz w:val="20"/>
          <w:szCs w:val="20"/>
        </w:rPr>
        <w:t>consultancy</w:t>
      </w:r>
      <w:r w:rsidR="006C767A">
        <w:rPr>
          <w:rFonts w:ascii="Verdana" w:hAnsi="Verdana"/>
          <w:sz w:val="20"/>
          <w:szCs w:val="20"/>
        </w:rPr>
        <w:t>diensten in opdracht van de</w:t>
      </w:r>
      <w:r w:rsidR="006C767A" w:rsidRPr="006C767A">
        <w:rPr>
          <w:rFonts w:ascii="Verdana" w:hAnsi="Verdana"/>
          <w:sz w:val="20"/>
          <w:szCs w:val="20"/>
        </w:rPr>
        <w:t xml:space="preserve"> coördinerende entiteit, en </w:t>
      </w:r>
      <w:r w:rsidR="006C767A">
        <w:rPr>
          <w:rFonts w:ascii="Verdana" w:hAnsi="Verdana"/>
          <w:sz w:val="20"/>
          <w:szCs w:val="20"/>
        </w:rPr>
        <w:t xml:space="preserve">niet </w:t>
      </w:r>
      <w:r w:rsidR="006C767A" w:rsidRPr="006C767A">
        <w:rPr>
          <w:rFonts w:ascii="Verdana" w:hAnsi="Verdana"/>
          <w:sz w:val="20"/>
          <w:szCs w:val="20"/>
        </w:rPr>
        <w:t xml:space="preserve">de opdrachten die </w:t>
      </w:r>
      <w:r w:rsidR="00F10F9C">
        <w:rPr>
          <w:rFonts w:ascii="Verdana" w:hAnsi="Verdana"/>
          <w:sz w:val="20"/>
          <w:szCs w:val="20"/>
        </w:rPr>
        <w:t xml:space="preserve">door </w:t>
      </w:r>
      <w:r w:rsidR="006C767A" w:rsidRPr="006C767A">
        <w:rPr>
          <w:rFonts w:ascii="Verdana" w:hAnsi="Verdana"/>
          <w:sz w:val="20"/>
          <w:szCs w:val="20"/>
        </w:rPr>
        <w:t xml:space="preserve">andere entiteiten gegeven zijn met betrekking </w:t>
      </w:r>
      <w:r w:rsidR="006C767A" w:rsidRPr="006C767A">
        <w:rPr>
          <w:rFonts w:ascii="Verdana" w:hAnsi="Verdana"/>
          <w:sz w:val="20"/>
          <w:szCs w:val="20"/>
        </w:rPr>
        <w:lastRenderedPageBreak/>
        <w:t xml:space="preserve">tot hun interne RRF-werking, noch </w:t>
      </w:r>
      <w:r w:rsidR="006C767A">
        <w:rPr>
          <w:rFonts w:ascii="Verdana" w:hAnsi="Verdana"/>
          <w:sz w:val="20"/>
          <w:szCs w:val="20"/>
        </w:rPr>
        <w:t>advies</w:t>
      </w:r>
      <w:r w:rsidR="006C767A" w:rsidRPr="006C767A">
        <w:rPr>
          <w:rFonts w:ascii="Verdana" w:hAnsi="Verdana"/>
          <w:sz w:val="20"/>
          <w:szCs w:val="20"/>
        </w:rPr>
        <w:t>opdrachten die betrekking hebben op de uitvoering van de projecten zelf.</w:t>
      </w:r>
    </w:p>
    <w:p w14:paraId="0E9B469A" w14:textId="77777777" w:rsidR="006C767A" w:rsidRDefault="006C767A" w:rsidP="00F10F9C">
      <w:pPr>
        <w:ind w:left="284"/>
        <w:jc w:val="both"/>
        <w:rPr>
          <w:rFonts w:ascii="Verdana" w:hAnsi="Verdana"/>
          <w:sz w:val="20"/>
          <w:szCs w:val="20"/>
        </w:rPr>
      </w:pPr>
    </w:p>
    <w:p w14:paraId="5CD540B3" w14:textId="3414E437" w:rsidR="00DD1B20" w:rsidRPr="00DD1B20" w:rsidRDefault="00DD1B20" w:rsidP="00AF58AC">
      <w:pPr>
        <w:numPr>
          <w:ilvl w:val="0"/>
          <w:numId w:val="6"/>
        </w:numPr>
        <w:ind w:left="284" w:hanging="284"/>
        <w:jc w:val="both"/>
        <w:rPr>
          <w:rFonts w:ascii="Verdana" w:hAnsi="Verdana"/>
          <w:sz w:val="20"/>
          <w:szCs w:val="20"/>
        </w:rPr>
      </w:pPr>
      <w:r w:rsidRPr="00DD1B20">
        <w:rPr>
          <w:rFonts w:ascii="Verdana" w:hAnsi="Verdana"/>
          <w:sz w:val="20"/>
          <w:szCs w:val="20"/>
        </w:rPr>
        <w:t>Zoals hierboven aangehaald, wordt de voortgang van Vlaamse Veerkracht zeer nauw opgevolgd via periodieke monitoringrapporten.</w:t>
      </w:r>
    </w:p>
    <w:p w14:paraId="7C20048A" w14:textId="77777777" w:rsidR="00DD1B20" w:rsidRPr="00DD1B20" w:rsidRDefault="00DD1B20" w:rsidP="00DD1B20">
      <w:pPr>
        <w:ind w:left="284"/>
        <w:jc w:val="both"/>
        <w:rPr>
          <w:rFonts w:ascii="Verdana" w:hAnsi="Verdana"/>
          <w:sz w:val="20"/>
          <w:szCs w:val="20"/>
        </w:rPr>
      </w:pPr>
    </w:p>
    <w:p w14:paraId="735B2973" w14:textId="3EB345B9" w:rsidR="00DD1B20" w:rsidRPr="00DD1B20" w:rsidRDefault="00DD1B20" w:rsidP="00DD1B20">
      <w:pPr>
        <w:ind w:left="284"/>
        <w:jc w:val="both"/>
        <w:rPr>
          <w:rFonts w:ascii="Verdana" w:hAnsi="Verdana"/>
          <w:sz w:val="20"/>
          <w:szCs w:val="20"/>
        </w:rPr>
      </w:pPr>
      <w:r w:rsidRPr="00DD1B20">
        <w:rPr>
          <w:rFonts w:ascii="Verdana" w:hAnsi="Verdana"/>
          <w:sz w:val="20"/>
          <w:szCs w:val="20"/>
        </w:rPr>
        <w:t xml:space="preserve">Ondanks de vijf covid-golven en de Oekraïnecrisis is de uitvoering van het plan Vlaamse Veerkracht grotendeels op schema. Uit het laatste monitoringrapport van juni blijkt dat 96% van de projecten verloopt volgens schema, 92% van de opgestarte mijlpalen staat op gerealiseerd of op schema. </w:t>
      </w:r>
    </w:p>
    <w:p w14:paraId="46A4C45C" w14:textId="3821859A" w:rsidR="0075030D" w:rsidRPr="00DD1B20" w:rsidRDefault="0075030D" w:rsidP="00AF58AC">
      <w:pPr>
        <w:ind w:left="284"/>
        <w:jc w:val="both"/>
        <w:rPr>
          <w:rFonts w:ascii="Verdana" w:hAnsi="Verdana"/>
          <w:sz w:val="20"/>
          <w:szCs w:val="20"/>
        </w:rPr>
      </w:pPr>
    </w:p>
    <w:sectPr w:rsidR="0075030D" w:rsidRPr="00DD1B20" w:rsidSect="000976E9">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CE43" w14:textId="77777777" w:rsidR="0026523C" w:rsidRDefault="0026523C" w:rsidP="00AF58AC">
      <w:r>
        <w:separator/>
      </w:r>
    </w:p>
  </w:endnote>
  <w:endnote w:type="continuationSeparator" w:id="0">
    <w:p w14:paraId="15EF6349" w14:textId="77777777" w:rsidR="0026523C" w:rsidRDefault="0026523C" w:rsidP="00AF58AC">
      <w:r>
        <w:continuationSeparator/>
      </w:r>
    </w:p>
  </w:endnote>
  <w:endnote w:type="continuationNotice" w:id="1">
    <w:p w14:paraId="48F56410" w14:textId="77777777" w:rsidR="0026523C" w:rsidRDefault="00265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1B9B" w14:textId="77777777" w:rsidR="0026523C" w:rsidRDefault="0026523C" w:rsidP="00AF58AC">
      <w:r>
        <w:separator/>
      </w:r>
    </w:p>
  </w:footnote>
  <w:footnote w:type="continuationSeparator" w:id="0">
    <w:p w14:paraId="311AC6F4" w14:textId="77777777" w:rsidR="0026523C" w:rsidRDefault="0026523C" w:rsidP="00AF58AC">
      <w:r>
        <w:continuationSeparator/>
      </w:r>
    </w:p>
  </w:footnote>
  <w:footnote w:type="continuationNotice" w:id="1">
    <w:p w14:paraId="5D24E250" w14:textId="77777777" w:rsidR="0026523C" w:rsidRDefault="002652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E5C"/>
    <w:multiLevelType w:val="hybridMultilevel"/>
    <w:tmpl w:val="CA28EC6A"/>
    <w:lvl w:ilvl="0" w:tplc="0813000F">
      <w:start w:val="1"/>
      <w:numFmt w:val="decimal"/>
      <w:lvlText w:val="%1."/>
      <w:lvlJc w:val="left"/>
      <w:pPr>
        <w:ind w:left="36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9C92FB7"/>
    <w:multiLevelType w:val="hybridMultilevel"/>
    <w:tmpl w:val="8C6CAF28"/>
    <w:lvl w:ilvl="0" w:tplc="59CEC182">
      <w:start w:val="6"/>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3D0A5E54"/>
    <w:multiLevelType w:val="hybridMultilevel"/>
    <w:tmpl w:val="F78A06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6A454D1"/>
    <w:multiLevelType w:val="hybridMultilevel"/>
    <w:tmpl w:val="30464F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D0F79BA"/>
    <w:multiLevelType w:val="hybridMultilevel"/>
    <w:tmpl w:val="3FDC5BC2"/>
    <w:lvl w:ilvl="0" w:tplc="306896B8">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DEC039E"/>
    <w:multiLevelType w:val="hybridMultilevel"/>
    <w:tmpl w:val="FCB0A084"/>
    <w:lvl w:ilvl="0" w:tplc="08130001">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num w:numId="1">
    <w:abstractNumId w:val="7"/>
  </w:num>
  <w:num w:numId="2">
    <w:abstractNumId w:val="7"/>
  </w:num>
  <w:num w:numId="3">
    <w:abstractNumId w:val="0"/>
  </w:num>
  <w:num w:numId="4">
    <w:abstractNumId w:val="3"/>
  </w:num>
  <w:num w:numId="5">
    <w:abstractNumId w:val="1"/>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8C"/>
    <w:rsid w:val="00027450"/>
    <w:rsid w:val="00035FBD"/>
    <w:rsid w:val="000976E9"/>
    <w:rsid w:val="000C4E8C"/>
    <w:rsid w:val="000F3532"/>
    <w:rsid w:val="000F4CD7"/>
    <w:rsid w:val="001B352F"/>
    <w:rsid w:val="001F1D47"/>
    <w:rsid w:val="00210C07"/>
    <w:rsid w:val="002346BF"/>
    <w:rsid w:val="0026523C"/>
    <w:rsid w:val="002F7E87"/>
    <w:rsid w:val="00301372"/>
    <w:rsid w:val="00307FEB"/>
    <w:rsid w:val="00326A58"/>
    <w:rsid w:val="00367A84"/>
    <w:rsid w:val="003723F1"/>
    <w:rsid w:val="003A470F"/>
    <w:rsid w:val="003B3122"/>
    <w:rsid w:val="003C3433"/>
    <w:rsid w:val="003E3B41"/>
    <w:rsid w:val="004072CF"/>
    <w:rsid w:val="00451559"/>
    <w:rsid w:val="00453455"/>
    <w:rsid w:val="00514F25"/>
    <w:rsid w:val="00517407"/>
    <w:rsid w:val="0056360C"/>
    <w:rsid w:val="005D5073"/>
    <w:rsid w:val="005E38CA"/>
    <w:rsid w:val="00617709"/>
    <w:rsid w:val="00645834"/>
    <w:rsid w:val="006563FB"/>
    <w:rsid w:val="0069528B"/>
    <w:rsid w:val="006C767A"/>
    <w:rsid w:val="0071248C"/>
    <w:rsid w:val="007252C7"/>
    <w:rsid w:val="007338E3"/>
    <w:rsid w:val="0075030D"/>
    <w:rsid w:val="00765907"/>
    <w:rsid w:val="00777250"/>
    <w:rsid w:val="007B249F"/>
    <w:rsid w:val="007C07F4"/>
    <w:rsid w:val="007C78D5"/>
    <w:rsid w:val="007E5F62"/>
    <w:rsid w:val="00821E06"/>
    <w:rsid w:val="00821F0F"/>
    <w:rsid w:val="008D1BFB"/>
    <w:rsid w:val="008D5DB4"/>
    <w:rsid w:val="008E4F90"/>
    <w:rsid w:val="009002A9"/>
    <w:rsid w:val="00932B48"/>
    <w:rsid w:val="009347E0"/>
    <w:rsid w:val="0096307B"/>
    <w:rsid w:val="009660A7"/>
    <w:rsid w:val="0099403D"/>
    <w:rsid w:val="009A7C5C"/>
    <w:rsid w:val="009B531A"/>
    <w:rsid w:val="009C0633"/>
    <w:rsid w:val="009D5E12"/>
    <w:rsid w:val="009D7043"/>
    <w:rsid w:val="009E6E6A"/>
    <w:rsid w:val="00A02687"/>
    <w:rsid w:val="00A51FBA"/>
    <w:rsid w:val="00AE4255"/>
    <w:rsid w:val="00AF015F"/>
    <w:rsid w:val="00AF0530"/>
    <w:rsid w:val="00AF58AC"/>
    <w:rsid w:val="00B44958"/>
    <w:rsid w:val="00B45EB2"/>
    <w:rsid w:val="00BA6056"/>
    <w:rsid w:val="00BE425A"/>
    <w:rsid w:val="00BF795B"/>
    <w:rsid w:val="00C3223A"/>
    <w:rsid w:val="00C72D38"/>
    <w:rsid w:val="00C72F07"/>
    <w:rsid w:val="00C86AC9"/>
    <w:rsid w:val="00C91441"/>
    <w:rsid w:val="00D02FE6"/>
    <w:rsid w:val="00D71D99"/>
    <w:rsid w:val="00D754F2"/>
    <w:rsid w:val="00DB41C0"/>
    <w:rsid w:val="00DC4DB6"/>
    <w:rsid w:val="00DD1B20"/>
    <w:rsid w:val="00DE0D72"/>
    <w:rsid w:val="00E06BDF"/>
    <w:rsid w:val="00E06D98"/>
    <w:rsid w:val="00E55200"/>
    <w:rsid w:val="00E85C8D"/>
    <w:rsid w:val="00ED4AD8"/>
    <w:rsid w:val="00EF1958"/>
    <w:rsid w:val="00F03547"/>
    <w:rsid w:val="00F10F9C"/>
    <w:rsid w:val="00F16869"/>
    <w:rsid w:val="00F51E02"/>
    <w:rsid w:val="00F51E5B"/>
    <w:rsid w:val="00F74FFB"/>
    <w:rsid w:val="00FA29D6"/>
    <w:rsid w:val="00FB7BA4"/>
    <w:rsid w:val="00FD5BF4"/>
    <w:rsid w:val="00FE5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4C447"/>
  <w15:docId w15:val="{C69B4410-1A82-415E-AD33-BFF30574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styleId="Lijstalinea">
    <w:name w:val="List Paragraph"/>
    <w:basedOn w:val="Standaard"/>
    <w:uiPriority w:val="34"/>
    <w:qFormat/>
    <w:rsid w:val="00DD1B20"/>
    <w:pPr>
      <w:ind w:left="720"/>
      <w:contextualSpacing/>
    </w:pPr>
  </w:style>
  <w:style w:type="table" w:styleId="Tabelraster">
    <w:name w:val="Table Grid"/>
    <w:basedOn w:val="Standaardtabel"/>
    <w:uiPriority w:val="39"/>
    <w:rsid w:val="0076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765907"/>
    <w:rPr>
      <w:sz w:val="16"/>
      <w:szCs w:val="16"/>
    </w:rPr>
  </w:style>
  <w:style w:type="paragraph" w:styleId="Tekstopmerking">
    <w:name w:val="annotation text"/>
    <w:basedOn w:val="Standaard"/>
    <w:link w:val="TekstopmerkingChar"/>
    <w:semiHidden/>
    <w:unhideWhenUsed/>
    <w:rsid w:val="00765907"/>
    <w:pPr>
      <w:jc w:val="both"/>
    </w:pPr>
    <w:rPr>
      <w:rFonts w:ascii="Verdana" w:hAnsi="Verdana"/>
      <w:sz w:val="20"/>
      <w:szCs w:val="20"/>
    </w:rPr>
  </w:style>
  <w:style w:type="character" w:customStyle="1" w:styleId="TekstopmerkingChar">
    <w:name w:val="Tekst opmerking Char"/>
    <w:basedOn w:val="Standaardalinea-lettertype"/>
    <w:link w:val="Tekstopmerking"/>
    <w:semiHidden/>
    <w:rsid w:val="0076590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E0D72"/>
    <w:pPr>
      <w:jc w:val="left"/>
    </w:pPr>
    <w:rPr>
      <w:rFonts w:ascii="Times New Roman" w:hAnsi="Times New Roman"/>
      <w:b/>
      <w:bCs/>
    </w:rPr>
  </w:style>
  <w:style w:type="character" w:customStyle="1" w:styleId="OnderwerpvanopmerkingChar">
    <w:name w:val="Onderwerp van opmerking Char"/>
    <w:basedOn w:val="TekstopmerkingChar"/>
    <w:link w:val="Onderwerpvanopmerking"/>
    <w:semiHidden/>
    <w:rsid w:val="00DE0D72"/>
    <w:rPr>
      <w:rFonts w:ascii="Verdana" w:hAnsi="Verdana"/>
      <w:b/>
      <w:bCs/>
      <w:lang w:val="nl-NL" w:eastAsia="nl-NL"/>
    </w:rPr>
  </w:style>
  <w:style w:type="paragraph" w:styleId="Koptekst">
    <w:name w:val="header"/>
    <w:basedOn w:val="Standaard"/>
    <w:link w:val="KoptekstChar"/>
    <w:semiHidden/>
    <w:unhideWhenUsed/>
    <w:rsid w:val="003C3433"/>
    <w:pPr>
      <w:tabs>
        <w:tab w:val="center" w:pos="4536"/>
        <w:tab w:val="right" w:pos="9072"/>
      </w:tabs>
    </w:pPr>
  </w:style>
  <w:style w:type="character" w:customStyle="1" w:styleId="KoptekstChar">
    <w:name w:val="Koptekst Char"/>
    <w:basedOn w:val="Standaardalinea-lettertype"/>
    <w:link w:val="Koptekst"/>
    <w:semiHidden/>
    <w:rsid w:val="003C3433"/>
    <w:rPr>
      <w:sz w:val="22"/>
      <w:szCs w:val="24"/>
      <w:lang w:val="nl-NL" w:eastAsia="nl-NL"/>
    </w:rPr>
  </w:style>
  <w:style w:type="paragraph" w:styleId="Revisie">
    <w:name w:val="Revision"/>
    <w:hidden/>
    <w:uiPriority w:val="99"/>
    <w:semiHidden/>
    <w:rsid w:val="0099403D"/>
    <w:rPr>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gemeen"/>
          <w:gallery w:val="placeholder"/>
        </w:category>
        <w:types>
          <w:type w:val="bbPlcHdr"/>
        </w:types>
        <w:behaviors>
          <w:behavior w:val="content"/>
        </w:behaviors>
        <w:guid w:val="{B8730111-30AB-49F2-9285-8FE183573256}"/>
      </w:docPartPr>
      <w:docPartBody>
        <w:p w:rsidR="00AB73EA" w:rsidRDefault="00026AA1">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AA1"/>
    <w:rsid w:val="000010DB"/>
    <w:rsid w:val="00026AA1"/>
    <w:rsid w:val="000C4579"/>
    <w:rsid w:val="002066B4"/>
    <w:rsid w:val="00396CD9"/>
    <w:rsid w:val="00AA4B6D"/>
    <w:rsid w:val="00AB73EA"/>
    <w:rsid w:val="00DF7E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6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standtype xmlns="03d5240a-782c-4048-8313-d01b5d6ab2a6" xsi:nil="true"/>
    <lcf76f155ced4ddcb4097134ff3c332f xmlns="03d5240a-782c-4048-8313-d01b5d6ab2a6">
      <Terms xmlns="http://schemas.microsoft.com/office/infopath/2007/PartnerControls"/>
    </lcf76f155ced4ddcb4097134ff3c332f>
    <Documenttype xmlns="03d5240a-782c-4048-8313-d01b5d6ab2a6" xsi:nil="true"/>
    <Thema xmlns="03d5240a-782c-4048-8313-d01b5d6ab2a6" xsi:nil="true"/>
    <Platform xmlns="03d5240a-782c-4048-8313-d01b5d6ab2a6" xsi:nil="true"/>
    <TaxCatchAll xmlns="9a9ec0f0-7796-43d0-ac1f-4c8c46ee0b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21" ma:contentTypeDescription="Een nieuw document maken." ma:contentTypeScope="" ma:versionID="2d029834adf8bf07a55800a2b97e557c">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6d1599ae7a28a317842e9ec20c1bd46a"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Bestandtype" minOccurs="0"/>
                <xsd:element ref="ns2:Platform"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Thema" minOccurs="0"/>
                <xsd:element ref="ns2:Documenttyp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standtype" ma:index="10" nillable="true" ma:displayName="Bestandtype" ma:description="Type Document" ma:format="Dropdown" ma:internalName="Bestandtype">
      <xsd:simpleType>
        <xsd:restriction base="dms:Choice">
          <xsd:enumeration value="Handleiding"/>
          <xsd:enumeration value="Script"/>
          <xsd:enumeration value="Software"/>
          <xsd:enumeration value="SoftwarePatch"/>
          <xsd:enumeration value="Informatie"/>
          <xsd:enumeration value="Afbeelding"/>
          <xsd:enumeration value="Film"/>
        </xsd:restriction>
      </xsd:simpleType>
    </xsd:element>
    <xsd:element name="Platform" ma:index="11" nillable="true" ma:displayName="Platform" ma:description="Platform versie" ma:format="Dropdown" ma:internalName="Platform">
      <xsd:simpleType>
        <xsd:union memberTypes="dms:Text">
          <xsd:simpleType>
            <xsd:restriction base="dms:Choice">
              <xsd:enumeration value="Windows"/>
              <xsd:enumeration value="MAC"/>
              <xsd:enumeration value="iOS"/>
              <xsd:enumeration value="Android"/>
              <xsd:enumeration value="Meerdere"/>
              <xsd:enumeration value="NVT"/>
            </xsd:restriction>
          </xsd:simpleType>
        </xsd:un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Thema" ma:index="22" nillable="true" ma:displayName="Thema" ma:format="Dropdown" ma:internalName="Thema">
      <xsd:simpleType>
        <xsd:restriction base="dms:Choice">
          <xsd:enumeration value="Regulier"/>
          <xsd:enumeration value="Relance"/>
          <xsd:enumeration value="Covid"/>
          <xsd:enumeration value="Vaccinatie"/>
          <xsd:enumeration value="Testing &amp; Tracing"/>
          <xsd:enumeration value="VIA-6"/>
          <xsd:enumeration value="Oekraïne"/>
        </xsd:restriction>
      </xsd:simpleType>
    </xsd:element>
    <xsd:element name="Documenttype" ma:index="23" nillable="true" ma:displayName="Documenttype" ma:description="Indeling documenttype voor Cel begroting" ma:format="Dropdown" ma:internalName="Documenttype">
      <xsd:simpleType>
        <xsd:restriction base="dms:Choice">
          <xsd:enumeration value="BA ontwerp"/>
          <xsd:enumeration value="BA definitief"/>
          <xsd:enumeration value="Adviesnota BA"/>
          <xsd:enumeration value="Afsprakennota"/>
          <xsd:enumeration value="Advies IF"/>
          <xsd:enumeration value="Advies BOBFO"/>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9275337-85d1-473b-b414-2b0626479769}"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C9294-A3BB-42B9-AA01-E809F6E7116E}">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9a9ec0f0-7796-43d0-ac1f-4c8c46ee0bd1"/>
    <ds:schemaRef ds:uri="http://purl.org/dc/elements/1.1/"/>
    <ds:schemaRef ds:uri="ceeae0c4-f3ff-4153-af2f-582bafa5e89e"/>
    <ds:schemaRef ds:uri="03d5240a-782c-4048-8313-d01b5d6ab2a6"/>
    <ds:schemaRef ds:uri="http://schemas.microsoft.com/office/2006/metadata/properties"/>
  </ds:schemaRefs>
</ds:datastoreItem>
</file>

<file path=customXml/itemProps2.xml><?xml version="1.0" encoding="utf-8"?>
<ds:datastoreItem xmlns:ds="http://schemas.openxmlformats.org/officeDocument/2006/customXml" ds:itemID="{FA77DD5B-79A7-4C66-BDC6-2648BC0D75E9}">
  <ds:schemaRefs>
    <ds:schemaRef ds:uri="http://schemas.openxmlformats.org/officeDocument/2006/bibliography"/>
  </ds:schemaRefs>
</ds:datastoreItem>
</file>

<file path=customXml/itemProps3.xml><?xml version="1.0" encoding="utf-8"?>
<ds:datastoreItem xmlns:ds="http://schemas.openxmlformats.org/officeDocument/2006/customXml" ds:itemID="{44720B56-DF63-440B-B21B-A6691D825770}">
  <ds:schemaRefs>
    <ds:schemaRef ds:uri="http://schemas.microsoft.com/sharepoint/v3/contenttype/forms"/>
  </ds:schemaRefs>
</ds:datastoreItem>
</file>

<file path=customXml/itemProps4.xml><?xml version="1.0" encoding="utf-8"?>
<ds:datastoreItem xmlns:ds="http://schemas.openxmlformats.org/officeDocument/2006/customXml" ds:itemID="{3EB54327-3CA5-41BD-BAEB-A928781A3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SchrVr-antwoord8</Template>
  <TotalTime>4</TotalTime>
  <Pages>3</Pages>
  <Words>895</Words>
  <Characters>5558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Antwoord op Schriftelijke Vraag</vt:lpstr>
    </vt:vector>
  </TitlesOfParts>
  <Company>Vlaams Parlement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op Schriftelijke Vraag</dc:title>
  <dc:subject>Antwoord op Schriftelijke Vraag</dc:subject>
  <dc:creator>Marc Beckers</dc:creator>
  <cp:keywords/>
  <cp:lastModifiedBy>Achten Jeroen</cp:lastModifiedBy>
  <cp:revision>4</cp:revision>
  <cp:lastPrinted>2022-11-29T09:03:00Z</cp:lastPrinted>
  <dcterms:created xsi:type="dcterms:W3CDTF">2022-11-30T09:29:00Z</dcterms:created>
  <dcterms:modified xsi:type="dcterms:W3CDTF">2022-12-05T16:10:00Z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Order">
    <vt:r8>15000</vt:r8>
  </property>
  <property fmtid="{D5CDD505-2E9C-101B-9397-08002B2CF9AE}" pid="4" name="_dlc_DocIdItemGuid">
    <vt:lpwstr>a686ea0d-5c9e-4dcd-83bb-bbeae73f83fe</vt:lpwstr>
  </property>
  <property fmtid="{D5CDD505-2E9C-101B-9397-08002B2CF9AE}" pid="5" name="MediaServiceImageTags">
    <vt:lpwstr/>
  </property>
</Properties>
</file>