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56" w:type="dxa"/>
        <w:tblLook w:val="04A0" w:firstRow="1" w:lastRow="0" w:firstColumn="1" w:lastColumn="0" w:noHBand="0" w:noVBand="1"/>
      </w:tblPr>
      <w:tblGrid>
        <w:gridCol w:w="3018"/>
        <w:gridCol w:w="6038"/>
      </w:tblGrid>
      <w:tr w:rsidR="00C40D4D" w:rsidRPr="0097504C" w14:paraId="236F10F3" w14:textId="77777777" w:rsidTr="2923DF7C">
        <w:tc>
          <w:tcPr>
            <w:tcW w:w="9056" w:type="dxa"/>
            <w:gridSpan w:val="2"/>
            <w:hideMark/>
          </w:tcPr>
          <w:p w14:paraId="3E35724F" w14:textId="4FAD6E39" w:rsidR="00C40D4D" w:rsidRPr="00D134E9" w:rsidRDefault="00D134E9" w:rsidP="00151451">
            <w:pPr>
              <w:spacing w:line="360" w:lineRule="auto"/>
              <w:jc w:val="both"/>
              <w:rPr>
                <w:rFonts w:cstheme="minorHAnsi"/>
                <w:b/>
                <w:bCs/>
                <w:lang w:val="fr-BE"/>
              </w:rPr>
            </w:pPr>
            <w:r w:rsidRPr="00D134E9">
              <w:rPr>
                <w:rFonts w:cstheme="minorHAnsi"/>
                <w:b/>
                <w:bCs/>
                <w:lang w:val="fr-BE"/>
              </w:rPr>
              <w:t>RÉPONSE À UNE QUESTION ÉCRITE POSÉE AU SECRÉTAIRE D'ÉTAT NICOLE DE MOOR</w:t>
            </w:r>
          </w:p>
        </w:tc>
      </w:tr>
      <w:tr w:rsidR="00C40D4D" w14:paraId="0A695339" w14:textId="77777777" w:rsidTr="2923DF7C">
        <w:tc>
          <w:tcPr>
            <w:tcW w:w="9056" w:type="dxa"/>
            <w:gridSpan w:val="2"/>
            <w:hideMark/>
          </w:tcPr>
          <w:p w14:paraId="76EA025B" w14:textId="0E648804" w:rsidR="00C40D4D" w:rsidRDefault="003E5CE2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774</w:t>
            </w:r>
          </w:p>
        </w:tc>
      </w:tr>
      <w:tr w:rsidR="00C40D4D" w:rsidRPr="0097504C" w14:paraId="778DAFFF" w14:textId="77777777" w:rsidTr="2923DF7C">
        <w:tc>
          <w:tcPr>
            <w:tcW w:w="9056" w:type="dxa"/>
            <w:gridSpan w:val="2"/>
            <w:hideMark/>
          </w:tcPr>
          <w:p w14:paraId="05AA766C" w14:textId="4B202529" w:rsidR="00C40D4D" w:rsidRPr="00D134E9" w:rsidRDefault="00D134E9">
            <w:pPr>
              <w:spacing w:line="360" w:lineRule="auto"/>
              <w:jc w:val="both"/>
              <w:rPr>
                <w:rFonts w:cstheme="minorHAnsi"/>
                <w:bCs/>
                <w:lang w:val="fr-BE"/>
              </w:rPr>
            </w:pPr>
            <w:r>
              <w:rPr>
                <w:rFonts w:cstheme="minorHAnsi"/>
                <w:bCs/>
                <w:lang w:val="fr-BE"/>
              </w:rPr>
              <w:t>S</w:t>
            </w:r>
            <w:r w:rsidR="003E5CE2" w:rsidRPr="00D134E9">
              <w:rPr>
                <w:rFonts w:cstheme="minorHAnsi"/>
                <w:bCs/>
                <w:lang w:val="fr-BE"/>
              </w:rPr>
              <w:t xml:space="preserve">creening </w:t>
            </w:r>
            <w:r w:rsidRPr="00D134E9">
              <w:rPr>
                <w:rFonts w:cstheme="minorHAnsi"/>
                <w:bCs/>
                <w:lang w:val="fr-BE"/>
              </w:rPr>
              <w:t>médical des demandeurs d'asile</w:t>
            </w:r>
          </w:p>
        </w:tc>
      </w:tr>
      <w:tr w:rsidR="00C40D4D" w14:paraId="6D82ABE3" w14:textId="77777777" w:rsidTr="2923DF7C">
        <w:tc>
          <w:tcPr>
            <w:tcW w:w="3018" w:type="dxa"/>
            <w:hideMark/>
          </w:tcPr>
          <w:p w14:paraId="11A5D4A2" w14:textId="0D39D8BB" w:rsidR="00C40D4D" w:rsidRDefault="003E5CE2">
            <w:pPr>
              <w:spacing w:line="360" w:lineRule="auto"/>
              <w:jc w:val="both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Dominiek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Sneppe</w:t>
            </w:r>
            <w:proofErr w:type="spellEnd"/>
          </w:p>
        </w:tc>
        <w:tc>
          <w:tcPr>
            <w:tcW w:w="6038" w:type="dxa"/>
            <w:hideMark/>
          </w:tcPr>
          <w:p w14:paraId="21DAFC3B" w14:textId="41BC4C47" w:rsidR="00C40D4D" w:rsidRDefault="003E5CE2">
            <w:pPr>
              <w:spacing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VB</w:t>
            </w:r>
          </w:p>
        </w:tc>
      </w:tr>
    </w:tbl>
    <w:p w14:paraId="41F23CF7" w14:textId="0B3CD0DE" w:rsidR="2923DF7C" w:rsidRDefault="2923DF7C" w:rsidP="2923DF7C">
      <w:pPr>
        <w:spacing w:line="360" w:lineRule="auto"/>
        <w:jc w:val="both"/>
      </w:pPr>
    </w:p>
    <w:tbl>
      <w:tblPr>
        <w:tblStyle w:val="Tabelraster"/>
        <w:tblW w:w="9066" w:type="dxa"/>
        <w:tblLayout w:type="fixed"/>
        <w:tblLook w:val="06A0" w:firstRow="1" w:lastRow="0" w:firstColumn="1" w:lastColumn="0" w:noHBand="1" w:noVBand="1"/>
      </w:tblPr>
      <w:tblGrid>
        <w:gridCol w:w="4533"/>
        <w:gridCol w:w="4533"/>
      </w:tblGrid>
      <w:tr w:rsidR="2923DF7C" w:rsidRPr="00413283" w14:paraId="7B005A77" w14:textId="77777777" w:rsidTr="00E41361">
        <w:tc>
          <w:tcPr>
            <w:tcW w:w="4533" w:type="dxa"/>
          </w:tcPr>
          <w:p w14:paraId="71CA8A13" w14:textId="77777777" w:rsidR="00832B34" w:rsidRDefault="001D2DB5" w:rsidP="001D2DB5">
            <w:pPr>
              <w:spacing w:line="360" w:lineRule="auto"/>
              <w:jc w:val="both"/>
              <w:rPr>
                <w:rFonts w:cstheme="minorHAnsi"/>
                <w:lang w:val="fr-BE"/>
              </w:rPr>
            </w:pPr>
            <w:r>
              <w:rPr>
                <w:rFonts w:cstheme="minorHAnsi"/>
                <w:lang w:val="fr-BE"/>
              </w:rPr>
              <w:t xml:space="preserve">1. </w:t>
            </w:r>
            <w:r w:rsidR="00D134E9" w:rsidRPr="001D2DB5">
              <w:rPr>
                <w:rFonts w:cstheme="minorHAnsi"/>
                <w:lang w:val="fr-BE"/>
              </w:rPr>
              <w:t xml:space="preserve">Le dépistage chez les nouveaux arrivants se fait de manière passive pour toutes ces </w:t>
            </w:r>
            <w:r w:rsidR="00C91EE6" w:rsidRPr="001D2DB5">
              <w:rPr>
                <w:rFonts w:cstheme="minorHAnsi"/>
                <w:lang w:val="fr-BE"/>
              </w:rPr>
              <w:t>maladies, sauf pour la tuberculose</w:t>
            </w:r>
            <w:r w:rsidR="00D134E9" w:rsidRPr="001D2DB5">
              <w:rPr>
                <w:rFonts w:cstheme="minorHAnsi"/>
                <w:lang w:val="fr-BE"/>
              </w:rPr>
              <w:t xml:space="preserve">. </w:t>
            </w:r>
          </w:p>
          <w:p w14:paraId="1D30CC51" w14:textId="77777777" w:rsidR="00832B34" w:rsidRDefault="00832B34" w:rsidP="001D2DB5">
            <w:pPr>
              <w:spacing w:line="360" w:lineRule="auto"/>
              <w:jc w:val="both"/>
              <w:rPr>
                <w:rFonts w:cstheme="minorHAnsi"/>
                <w:lang w:val="fr-BE"/>
              </w:rPr>
            </w:pPr>
          </w:p>
          <w:p w14:paraId="6943220F" w14:textId="4038957D" w:rsidR="00832B34" w:rsidRDefault="00D134E9" w:rsidP="001D2DB5">
            <w:pPr>
              <w:spacing w:line="360" w:lineRule="auto"/>
              <w:jc w:val="both"/>
              <w:rPr>
                <w:rFonts w:cstheme="minorHAnsi"/>
                <w:lang w:val="fr-BE"/>
              </w:rPr>
            </w:pPr>
            <w:r w:rsidRPr="001D2DB5">
              <w:rPr>
                <w:rFonts w:cstheme="minorHAnsi"/>
                <w:lang w:val="fr-BE"/>
              </w:rPr>
              <w:t xml:space="preserve">Cela signifie </w:t>
            </w:r>
            <w:r w:rsidR="001D2DB5">
              <w:rPr>
                <w:rFonts w:cstheme="minorHAnsi"/>
                <w:lang w:val="fr-BE"/>
              </w:rPr>
              <w:t>qu’on observe</w:t>
            </w:r>
            <w:r w:rsidRPr="001D2DB5">
              <w:rPr>
                <w:rFonts w:cstheme="minorHAnsi"/>
                <w:lang w:val="fr-BE"/>
              </w:rPr>
              <w:t xml:space="preserve"> et/ou qu'on leur demande s'ils présentent des symptômes d</w:t>
            </w:r>
            <w:r w:rsidR="007536BA" w:rsidRPr="001D2DB5">
              <w:rPr>
                <w:rFonts w:cstheme="minorHAnsi"/>
                <w:lang w:val="fr-BE"/>
              </w:rPr>
              <w:t>e</w:t>
            </w:r>
            <w:r w:rsidRPr="001D2DB5">
              <w:rPr>
                <w:rFonts w:cstheme="minorHAnsi"/>
                <w:lang w:val="fr-BE"/>
              </w:rPr>
              <w:t xml:space="preserve"> certaine</w:t>
            </w:r>
            <w:r w:rsidR="007536BA" w:rsidRPr="001D2DB5">
              <w:rPr>
                <w:rFonts w:cstheme="minorHAnsi"/>
                <w:lang w:val="fr-BE"/>
              </w:rPr>
              <w:t>s</w:t>
            </w:r>
            <w:r w:rsidRPr="001D2DB5">
              <w:rPr>
                <w:rFonts w:cstheme="minorHAnsi"/>
                <w:lang w:val="fr-BE"/>
              </w:rPr>
              <w:t xml:space="preserve"> maladie</w:t>
            </w:r>
            <w:r w:rsidR="007536BA" w:rsidRPr="001D2DB5">
              <w:rPr>
                <w:rFonts w:cstheme="minorHAnsi"/>
                <w:lang w:val="fr-BE"/>
              </w:rPr>
              <w:t xml:space="preserve">s afin de les diagnostiquer. </w:t>
            </w:r>
            <w:r w:rsidRPr="001D2DB5">
              <w:rPr>
                <w:rFonts w:cstheme="minorHAnsi"/>
                <w:lang w:val="fr-BE"/>
              </w:rPr>
              <w:t>La recherche active de symp</w:t>
            </w:r>
            <w:r w:rsidR="001D2DB5">
              <w:rPr>
                <w:rFonts w:cstheme="minorHAnsi"/>
                <w:lang w:val="fr-BE"/>
              </w:rPr>
              <w:t xml:space="preserve">tômes ou de maladies se fait </w:t>
            </w:r>
            <w:r w:rsidR="007536BA" w:rsidRPr="001D2DB5">
              <w:rPr>
                <w:rFonts w:cstheme="minorHAnsi"/>
                <w:lang w:val="fr-BE"/>
              </w:rPr>
              <w:t>au</w:t>
            </w:r>
            <w:r w:rsidRPr="001D2DB5">
              <w:rPr>
                <w:rFonts w:cstheme="minorHAnsi"/>
                <w:lang w:val="fr-BE"/>
              </w:rPr>
              <w:t xml:space="preserve"> </w:t>
            </w:r>
            <w:r w:rsidR="00832B34">
              <w:rPr>
                <w:rFonts w:cstheme="minorHAnsi"/>
                <w:lang w:val="fr-BE"/>
              </w:rPr>
              <w:t xml:space="preserve">service </w:t>
            </w:r>
            <w:r w:rsidR="00E41361">
              <w:rPr>
                <w:rFonts w:cstheme="minorHAnsi"/>
                <w:lang w:val="fr-BE"/>
              </w:rPr>
              <w:t>D</w:t>
            </w:r>
            <w:r w:rsidRPr="001D2DB5">
              <w:rPr>
                <w:rFonts w:cstheme="minorHAnsi"/>
                <w:lang w:val="fr-BE"/>
              </w:rPr>
              <w:t xml:space="preserve">ispatching pour chaque nouvel arrivant. Toutes ces maladies provoquent des symptômes spécifiques et peuvent donc être facilement détectées. </w:t>
            </w:r>
          </w:p>
          <w:p w14:paraId="4383B3C0" w14:textId="77777777" w:rsidR="00832B34" w:rsidRDefault="00832B34" w:rsidP="001D2DB5">
            <w:pPr>
              <w:spacing w:line="360" w:lineRule="auto"/>
              <w:jc w:val="both"/>
              <w:rPr>
                <w:rFonts w:cstheme="minorHAnsi"/>
                <w:lang w:val="fr-BE"/>
              </w:rPr>
            </w:pPr>
          </w:p>
          <w:p w14:paraId="70CCA7A3" w14:textId="1ABA533F" w:rsidR="00832B34" w:rsidRDefault="00832B34" w:rsidP="001D2DB5">
            <w:pPr>
              <w:spacing w:line="360" w:lineRule="auto"/>
              <w:jc w:val="both"/>
              <w:rPr>
                <w:rFonts w:cstheme="minorHAnsi"/>
                <w:lang w:val="fr-BE"/>
              </w:rPr>
            </w:pPr>
          </w:p>
          <w:p w14:paraId="791850AE" w14:textId="77777777" w:rsidR="00E41361" w:rsidRDefault="00E41361" w:rsidP="001D2DB5">
            <w:pPr>
              <w:spacing w:line="360" w:lineRule="auto"/>
              <w:jc w:val="both"/>
              <w:rPr>
                <w:rFonts w:cstheme="minorHAnsi"/>
                <w:lang w:val="fr-BE"/>
              </w:rPr>
            </w:pPr>
          </w:p>
          <w:p w14:paraId="73ED98B1" w14:textId="2E93A278" w:rsidR="00D134E9" w:rsidRPr="001D2DB5" w:rsidRDefault="00D134E9" w:rsidP="001D2DB5">
            <w:pPr>
              <w:spacing w:line="360" w:lineRule="auto"/>
              <w:jc w:val="both"/>
              <w:rPr>
                <w:rFonts w:cstheme="minorHAnsi"/>
                <w:lang w:val="fr-BE"/>
              </w:rPr>
            </w:pPr>
            <w:r w:rsidRPr="001D2DB5">
              <w:rPr>
                <w:rFonts w:cstheme="minorHAnsi"/>
                <w:lang w:val="fr-BE"/>
              </w:rPr>
              <w:t xml:space="preserve">Compte tenu du nombre de cas de gale, </w:t>
            </w:r>
            <w:r w:rsidR="007536BA" w:rsidRPr="001D2DB5">
              <w:rPr>
                <w:rFonts w:cstheme="minorHAnsi"/>
                <w:lang w:val="fr-BE"/>
              </w:rPr>
              <w:t xml:space="preserve">celle-ci </w:t>
            </w:r>
            <w:r w:rsidRPr="001D2DB5">
              <w:rPr>
                <w:rFonts w:cstheme="minorHAnsi"/>
                <w:lang w:val="fr-BE"/>
              </w:rPr>
              <w:t xml:space="preserve">est </w:t>
            </w:r>
            <w:r w:rsidR="0006539F" w:rsidRPr="001D2DB5">
              <w:rPr>
                <w:rFonts w:cstheme="minorHAnsi"/>
                <w:lang w:val="fr-BE"/>
              </w:rPr>
              <w:t>abordée avec une attention toute particulière</w:t>
            </w:r>
            <w:r w:rsidRPr="001D2DB5">
              <w:rPr>
                <w:rFonts w:cstheme="minorHAnsi"/>
                <w:lang w:val="fr-BE"/>
              </w:rPr>
              <w:t xml:space="preserve">. Un dépistage actif </w:t>
            </w:r>
            <w:r w:rsidR="007536BA" w:rsidRPr="001D2DB5">
              <w:rPr>
                <w:rFonts w:cstheme="minorHAnsi"/>
                <w:lang w:val="fr-BE"/>
              </w:rPr>
              <w:t xml:space="preserve">et </w:t>
            </w:r>
            <w:r w:rsidRPr="001D2DB5">
              <w:rPr>
                <w:rFonts w:cstheme="minorHAnsi"/>
                <w:lang w:val="fr-BE"/>
              </w:rPr>
              <w:t xml:space="preserve">systématique n'est effectué que pour la tuberculose. Chaque nouvel arrivant </w:t>
            </w:r>
            <w:r w:rsidR="001D2DB5">
              <w:rPr>
                <w:rFonts w:cstheme="minorHAnsi"/>
                <w:lang w:val="fr-BE"/>
              </w:rPr>
              <w:t>dès l’âge</w:t>
            </w:r>
            <w:r w:rsidRPr="001D2DB5">
              <w:rPr>
                <w:rFonts w:cstheme="minorHAnsi"/>
                <w:lang w:val="fr-BE"/>
              </w:rPr>
              <w:t xml:space="preserve"> de 5 ans (sauf contre-indication </w:t>
            </w:r>
            <w:r w:rsidR="001D2DB5">
              <w:rPr>
                <w:rFonts w:cstheme="minorHAnsi"/>
                <w:lang w:val="fr-BE"/>
              </w:rPr>
              <w:t>au</w:t>
            </w:r>
            <w:r w:rsidRPr="001D2DB5">
              <w:rPr>
                <w:rFonts w:cstheme="minorHAnsi"/>
                <w:lang w:val="fr-BE"/>
              </w:rPr>
              <w:t xml:space="preserve"> RX) reçoit un</w:t>
            </w:r>
            <w:r w:rsidR="007536BA" w:rsidRPr="001D2DB5">
              <w:rPr>
                <w:rFonts w:cstheme="minorHAnsi"/>
                <w:lang w:val="fr-BE"/>
              </w:rPr>
              <w:t>e radio du</w:t>
            </w:r>
            <w:r w:rsidRPr="001D2DB5">
              <w:rPr>
                <w:rFonts w:cstheme="minorHAnsi"/>
                <w:lang w:val="fr-BE"/>
              </w:rPr>
              <w:t xml:space="preserve"> thorax au moment du dispatching avant d'être admis dans le réseau d'accueil. Si aucun</w:t>
            </w:r>
            <w:r w:rsidR="0006539F" w:rsidRPr="001D2DB5">
              <w:rPr>
                <w:rFonts w:cstheme="minorHAnsi"/>
                <w:lang w:val="fr-BE"/>
              </w:rPr>
              <w:t>e</w:t>
            </w:r>
            <w:r w:rsidRPr="001D2DB5">
              <w:rPr>
                <w:rFonts w:cstheme="minorHAnsi"/>
                <w:lang w:val="fr-BE"/>
              </w:rPr>
              <w:t xml:space="preserve"> </w:t>
            </w:r>
            <w:r w:rsidR="001D2DB5">
              <w:rPr>
                <w:rFonts w:cstheme="minorHAnsi"/>
                <w:lang w:val="fr-BE"/>
              </w:rPr>
              <w:t>radio</w:t>
            </w:r>
            <w:r w:rsidRPr="001D2DB5">
              <w:rPr>
                <w:rFonts w:cstheme="minorHAnsi"/>
                <w:lang w:val="fr-BE"/>
              </w:rPr>
              <w:t xml:space="preserve"> ne peut être effectué</w:t>
            </w:r>
            <w:r w:rsidR="001D2DB5">
              <w:rPr>
                <w:rFonts w:cstheme="minorHAnsi"/>
                <w:lang w:val="fr-BE"/>
              </w:rPr>
              <w:t>e</w:t>
            </w:r>
            <w:r w:rsidRPr="001D2DB5">
              <w:rPr>
                <w:rFonts w:cstheme="minorHAnsi"/>
                <w:lang w:val="fr-BE"/>
              </w:rPr>
              <w:t xml:space="preserve">, un test intradermo est réalisé </w:t>
            </w:r>
            <w:r w:rsidRPr="001D2DB5">
              <w:rPr>
                <w:rFonts w:cstheme="minorHAnsi"/>
                <w:lang w:val="fr-BE"/>
              </w:rPr>
              <w:lastRenderedPageBreak/>
              <w:t>dès que possible</w:t>
            </w:r>
            <w:r w:rsidR="00CC129C" w:rsidRPr="001D2DB5">
              <w:rPr>
                <w:rFonts w:cstheme="minorHAnsi"/>
                <w:lang w:val="fr-BE"/>
              </w:rPr>
              <w:t xml:space="preserve"> (détection de la tuberculose).</w:t>
            </w:r>
          </w:p>
          <w:p w14:paraId="2556FC24" w14:textId="77777777" w:rsidR="001D2DB5" w:rsidRDefault="001D2DB5" w:rsidP="001D2DB5">
            <w:pPr>
              <w:spacing w:line="360" w:lineRule="auto"/>
              <w:jc w:val="both"/>
              <w:rPr>
                <w:rFonts w:cstheme="minorHAnsi"/>
                <w:lang w:val="fr-BE"/>
              </w:rPr>
            </w:pPr>
          </w:p>
          <w:p w14:paraId="7D07BDFA" w14:textId="51CB03BB" w:rsidR="00D134E9" w:rsidRDefault="001D2DB5" w:rsidP="001D2DB5">
            <w:pPr>
              <w:spacing w:line="360" w:lineRule="auto"/>
              <w:jc w:val="both"/>
              <w:rPr>
                <w:rFonts w:cstheme="minorHAnsi"/>
                <w:lang w:val="fr-BE"/>
              </w:rPr>
            </w:pPr>
            <w:r>
              <w:rPr>
                <w:rFonts w:cstheme="minorHAnsi"/>
                <w:lang w:val="fr-BE"/>
              </w:rPr>
              <w:t xml:space="preserve">2. </w:t>
            </w:r>
            <w:r w:rsidR="00CC129C" w:rsidRPr="001D2DB5">
              <w:rPr>
                <w:rFonts w:cstheme="minorHAnsi"/>
                <w:lang w:val="fr-BE"/>
              </w:rPr>
              <w:t>Après 6 et 12 mois, un questionnaire est soumis afin de vérifier si la personne présente des risques d'infection de tuberculose et si un nouve</w:t>
            </w:r>
            <w:r w:rsidR="0006539F" w:rsidRPr="001D2DB5">
              <w:rPr>
                <w:rFonts w:cstheme="minorHAnsi"/>
                <w:lang w:val="fr-BE"/>
              </w:rPr>
              <w:t>l</w:t>
            </w:r>
            <w:r w:rsidR="00CC129C" w:rsidRPr="001D2DB5">
              <w:rPr>
                <w:rFonts w:cstheme="minorHAnsi"/>
                <w:lang w:val="fr-BE"/>
              </w:rPr>
              <w:t xml:space="preserve"> RX thorax est </w:t>
            </w:r>
            <w:r w:rsidR="0006539F" w:rsidRPr="001D2DB5">
              <w:rPr>
                <w:rFonts w:cstheme="minorHAnsi"/>
                <w:lang w:val="fr-BE"/>
              </w:rPr>
              <w:t>néc</w:t>
            </w:r>
            <w:r>
              <w:rPr>
                <w:rFonts w:cstheme="minorHAnsi"/>
                <w:lang w:val="fr-BE"/>
              </w:rPr>
              <w:t>e</w:t>
            </w:r>
            <w:r w:rsidR="0006539F" w:rsidRPr="001D2DB5">
              <w:rPr>
                <w:rFonts w:cstheme="minorHAnsi"/>
                <w:lang w:val="fr-BE"/>
              </w:rPr>
              <w:t>ssaire</w:t>
            </w:r>
            <w:r w:rsidR="00CC129C" w:rsidRPr="001D2DB5">
              <w:rPr>
                <w:rFonts w:cstheme="minorHAnsi"/>
                <w:lang w:val="fr-BE"/>
              </w:rPr>
              <w:t>. En général, une prise de sang est proposée à chaque</w:t>
            </w:r>
            <w:r w:rsidR="00832B34">
              <w:rPr>
                <w:rFonts w:cstheme="minorHAnsi"/>
                <w:lang w:val="fr-BE"/>
              </w:rPr>
              <w:t xml:space="preserve"> demandeur de protection internationale</w:t>
            </w:r>
            <w:r w:rsidR="00CC129C" w:rsidRPr="001D2DB5">
              <w:rPr>
                <w:rFonts w:cstheme="minorHAnsi"/>
                <w:lang w:val="fr-BE"/>
              </w:rPr>
              <w:t xml:space="preserve"> une fois arrivé dans une structure d'accueil temporaire. Il s'agit de dépister les maladies suivantes : hépatite B, C, VIH, sous réserve de l'accord du </w:t>
            </w:r>
            <w:r w:rsidR="00832B34">
              <w:rPr>
                <w:rFonts w:cstheme="minorHAnsi"/>
                <w:lang w:val="fr-BE"/>
              </w:rPr>
              <w:t>demandeur.</w:t>
            </w:r>
          </w:p>
          <w:p w14:paraId="1513B1AB" w14:textId="77777777" w:rsidR="001D2DB5" w:rsidRDefault="001D2DB5" w:rsidP="001D2DB5">
            <w:pPr>
              <w:spacing w:line="360" w:lineRule="auto"/>
              <w:jc w:val="both"/>
              <w:rPr>
                <w:rFonts w:cstheme="minorHAnsi"/>
                <w:lang w:val="fr-BE"/>
              </w:rPr>
            </w:pPr>
          </w:p>
          <w:p w14:paraId="616EBBA5" w14:textId="3D62CAAF" w:rsidR="003E5CE2" w:rsidRDefault="001D2DB5" w:rsidP="001D2DB5">
            <w:pPr>
              <w:spacing w:line="360" w:lineRule="auto"/>
              <w:jc w:val="both"/>
              <w:rPr>
                <w:rFonts w:cstheme="minorHAnsi"/>
                <w:lang w:val="fr-BE"/>
              </w:rPr>
            </w:pPr>
            <w:r>
              <w:rPr>
                <w:rFonts w:cstheme="minorHAnsi"/>
                <w:lang w:val="fr-BE"/>
              </w:rPr>
              <w:t xml:space="preserve">3. </w:t>
            </w:r>
            <w:r w:rsidR="00CC129C">
              <w:rPr>
                <w:rFonts w:cstheme="minorHAnsi"/>
                <w:lang w:val="fr-BE"/>
              </w:rPr>
              <w:t xml:space="preserve">Le screening </w:t>
            </w:r>
            <w:r w:rsidR="00CC129C" w:rsidRPr="00CC129C">
              <w:rPr>
                <w:rFonts w:cstheme="minorHAnsi"/>
                <w:lang w:val="fr-BE"/>
              </w:rPr>
              <w:t>s'applique à l'ensemble du réseau</w:t>
            </w:r>
            <w:r w:rsidR="00832B34">
              <w:rPr>
                <w:rFonts w:cstheme="minorHAnsi"/>
                <w:lang w:val="fr-BE"/>
              </w:rPr>
              <w:t xml:space="preserve"> d’accueil.</w:t>
            </w:r>
          </w:p>
          <w:p w14:paraId="6D460233" w14:textId="77777777" w:rsidR="001D2DB5" w:rsidRDefault="001D2DB5" w:rsidP="001D2DB5">
            <w:pPr>
              <w:spacing w:line="360" w:lineRule="auto"/>
              <w:jc w:val="both"/>
              <w:rPr>
                <w:rFonts w:cstheme="minorHAnsi"/>
                <w:lang w:val="fr-BE"/>
              </w:rPr>
            </w:pPr>
          </w:p>
          <w:p w14:paraId="2FB9F133" w14:textId="77777777" w:rsidR="00832B34" w:rsidRDefault="001D2DB5" w:rsidP="001D2DB5">
            <w:pPr>
              <w:spacing w:line="360" w:lineRule="auto"/>
              <w:jc w:val="both"/>
              <w:rPr>
                <w:rFonts w:cstheme="minorHAnsi"/>
                <w:lang w:val="fr-BE"/>
              </w:rPr>
            </w:pPr>
            <w:r>
              <w:rPr>
                <w:rFonts w:cstheme="minorHAnsi"/>
                <w:lang w:val="fr-BE"/>
              </w:rPr>
              <w:t xml:space="preserve">4. </w:t>
            </w:r>
            <w:r w:rsidR="00832B34" w:rsidRPr="00832B34">
              <w:rPr>
                <w:rFonts w:cstheme="minorHAnsi"/>
                <w:lang w:val="fr-BE"/>
              </w:rPr>
              <w:t>Vous trouverez ci-dessous les chiffres jusqu'au 30 septembre 2022.</w:t>
            </w:r>
          </w:p>
          <w:p w14:paraId="06943BB8" w14:textId="77777777" w:rsidR="00832B34" w:rsidRDefault="00832B34" w:rsidP="001D2DB5">
            <w:pPr>
              <w:spacing w:line="360" w:lineRule="auto"/>
              <w:jc w:val="both"/>
              <w:rPr>
                <w:rFonts w:cstheme="minorHAnsi"/>
                <w:lang w:val="fr-BE"/>
              </w:rPr>
            </w:pPr>
          </w:p>
          <w:p w14:paraId="61625281" w14:textId="628400F1" w:rsidR="00CC129C" w:rsidRDefault="00CC129C" w:rsidP="001D2DB5">
            <w:pPr>
              <w:spacing w:line="360" w:lineRule="auto"/>
              <w:jc w:val="both"/>
              <w:rPr>
                <w:rFonts w:cstheme="minorHAnsi"/>
                <w:lang w:val="fr-BE"/>
              </w:rPr>
            </w:pPr>
            <w:r w:rsidRPr="00CC129C">
              <w:rPr>
                <w:rFonts w:cstheme="minorHAnsi"/>
                <w:lang w:val="fr-BE"/>
              </w:rPr>
              <w:t xml:space="preserve">Les chiffres du </w:t>
            </w:r>
            <w:r w:rsidR="00832B34">
              <w:rPr>
                <w:rFonts w:cstheme="minorHAnsi"/>
                <w:lang w:val="fr-BE"/>
              </w:rPr>
              <w:t>D</w:t>
            </w:r>
            <w:r w:rsidRPr="00CC129C">
              <w:rPr>
                <w:rFonts w:cstheme="minorHAnsi"/>
                <w:lang w:val="fr-BE"/>
              </w:rPr>
              <w:t xml:space="preserve">ispatching concernent toute personne entrant dans le réseau. Les chiffres relatifs aux </w:t>
            </w:r>
            <w:r w:rsidR="0006539F">
              <w:rPr>
                <w:rFonts w:cstheme="minorHAnsi"/>
                <w:lang w:val="fr-BE"/>
              </w:rPr>
              <w:t>centres d’accueils</w:t>
            </w:r>
            <w:r w:rsidRPr="00CC129C">
              <w:rPr>
                <w:rFonts w:cstheme="minorHAnsi"/>
                <w:lang w:val="fr-BE"/>
              </w:rPr>
              <w:t xml:space="preserve"> ne concernent que les </w:t>
            </w:r>
            <w:r w:rsidR="0006539F">
              <w:rPr>
                <w:rFonts w:cstheme="minorHAnsi"/>
                <w:lang w:val="fr-BE"/>
              </w:rPr>
              <w:t>centres d’accueils</w:t>
            </w:r>
            <w:r w:rsidRPr="00CC129C">
              <w:rPr>
                <w:rFonts w:cstheme="minorHAnsi"/>
                <w:lang w:val="fr-BE"/>
              </w:rPr>
              <w:t xml:space="preserve"> fédéraux</w:t>
            </w:r>
            <w:r w:rsidR="00832B34">
              <w:rPr>
                <w:rFonts w:cstheme="minorHAnsi"/>
                <w:lang w:val="fr-BE"/>
              </w:rPr>
              <w:t xml:space="preserve"> de Fedasil.</w:t>
            </w:r>
          </w:p>
          <w:p w14:paraId="2389FE0F" w14:textId="07B2ADDF" w:rsidR="003E5CE2" w:rsidRPr="00D134E9" w:rsidRDefault="003E5CE2" w:rsidP="00BB0F7F">
            <w:pPr>
              <w:spacing w:line="276" w:lineRule="auto"/>
              <w:jc w:val="both"/>
              <w:rPr>
                <w:rFonts w:cstheme="minorHAnsi"/>
                <w:lang w:val="fr-BE"/>
              </w:rPr>
            </w:pPr>
          </w:p>
        </w:tc>
        <w:tc>
          <w:tcPr>
            <w:tcW w:w="4533" w:type="dxa"/>
          </w:tcPr>
          <w:p w14:paraId="256FAB0E" w14:textId="77777777" w:rsidR="00832B34" w:rsidRDefault="001D2DB5" w:rsidP="001D2DB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1. </w:t>
            </w:r>
            <w:r w:rsidR="0033502D" w:rsidRPr="001D2DB5">
              <w:rPr>
                <w:rFonts w:cstheme="minorHAnsi"/>
              </w:rPr>
              <w:t xml:space="preserve">Screening bij </w:t>
            </w:r>
            <w:r w:rsidR="001E6A75" w:rsidRPr="001D2DB5">
              <w:rPr>
                <w:rFonts w:cstheme="minorHAnsi"/>
              </w:rPr>
              <w:t xml:space="preserve">nieuwkomers </w:t>
            </w:r>
            <w:r w:rsidR="0033502D" w:rsidRPr="001D2DB5">
              <w:rPr>
                <w:rFonts w:cstheme="minorHAnsi"/>
              </w:rPr>
              <w:t>gebeur</w:t>
            </w:r>
            <w:r w:rsidR="001E6A75" w:rsidRPr="001D2DB5">
              <w:rPr>
                <w:rFonts w:cstheme="minorHAnsi"/>
              </w:rPr>
              <w:t>t</w:t>
            </w:r>
            <w:r w:rsidR="0033502D" w:rsidRPr="001D2DB5">
              <w:rPr>
                <w:rFonts w:cstheme="minorHAnsi"/>
              </w:rPr>
              <w:t xml:space="preserve"> op passieve wijze voor al deze aandoeningen</w:t>
            </w:r>
            <w:r w:rsidR="00C91EE6" w:rsidRPr="001D2DB5">
              <w:rPr>
                <w:rFonts w:cstheme="minorHAnsi"/>
              </w:rPr>
              <w:t>, behalve voor TBC</w:t>
            </w:r>
            <w:r w:rsidR="0033502D" w:rsidRPr="001D2DB5">
              <w:rPr>
                <w:rFonts w:cstheme="minorHAnsi"/>
              </w:rPr>
              <w:t xml:space="preserve">. </w:t>
            </w:r>
          </w:p>
          <w:p w14:paraId="0CF8E203" w14:textId="77777777" w:rsidR="00832B34" w:rsidRDefault="00832B34" w:rsidP="001D2DB5">
            <w:pPr>
              <w:spacing w:line="360" w:lineRule="auto"/>
              <w:jc w:val="both"/>
              <w:rPr>
                <w:rFonts w:cstheme="minorHAnsi"/>
              </w:rPr>
            </w:pPr>
          </w:p>
          <w:p w14:paraId="6575280A" w14:textId="44D7829B" w:rsidR="00832B34" w:rsidRDefault="0033502D" w:rsidP="001D2DB5">
            <w:pPr>
              <w:spacing w:line="360" w:lineRule="auto"/>
              <w:jc w:val="both"/>
              <w:rPr>
                <w:rFonts w:cstheme="minorHAnsi"/>
              </w:rPr>
            </w:pPr>
            <w:r w:rsidRPr="001D2DB5">
              <w:rPr>
                <w:rFonts w:cstheme="minorHAnsi"/>
              </w:rPr>
              <w:t>Dat wil zeggen dat er gekeken</w:t>
            </w:r>
            <w:r w:rsidR="00FC1C9B" w:rsidRPr="001D2DB5">
              <w:rPr>
                <w:rFonts w:cstheme="minorHAnsi"/>
              </w:rPr>
              <w:t xml:space="preserve"> en/of gevraagd</w:t>
            </w:r>
            <w:r w:rsidRPr="001D2DB5">
              <w:rPr>
                <w:rFonts w:cstheme="minorHAnsi"/>
              </w:rPr>
              <w:t xml:space="preserve"> wordt of er symptomen zijn van een bepaalde ziekte en van daaruit wordt dan gekeken welke aandoening dit kan zijn. Een actieve bevraging op symptomen of ziekte gebeur</w:t>
            </w:r>
            <w:r w:rsidR="00FC1C9B" w:rsidRPr="001D2DB5">
              <w:rPr>
                <w:rFonts w:cstheme="minorHAnsi"/>
              </w:rPr>
              <w:t>t</w:t>
            </w:r>
            <w:r w:rsidRPr="001D2DB5">
              <w:rPr>
                <w:rFonts w:cstheme="minorHAnsi"/>
              </w:rPr>
              <w:t xml:space="preserve"> bij elke nieuwkomer op </w:t>
            </w:r>
            <w:r w:rsidR="00832B34">
              <w:rPr>
                <w:rFonts w:cstheme="minorHAnsi"/>
              </w:rPr>
              <w:t xml:space="preserve">de </w:t>
            </w:r>
            <w:r w:rsidR="00E41361">
              <w:rPr>
                <w:rFonts w:cstheme="minorHAnsi"/>
              </w:rPr>
              <w:t>dienst Dispatching.</w:t>
            </w:r>
            <w:r w:rsidRPr="001D2DB5">
              <w:rPr>
                <w:rFonts w:cstheme="minorHAnsi"/>
              </w:rPr>
              <w:t xml:space="preserve"> </w:t>
            </w:r>
            <w:r w:rsidR="00FC1C9B" w:rsidRPr="001D2DB5">
              <w:rPr>
                <w:rFonts w:cstheme="minorHAnsi"/>
              </w:rPr>
              <w:t>Al deze ziekten veroorzaken specifieke symptomen en kunnen op die manier makkelijk opgespoord worden.</w:t>
            </w:r>
          </w:p>
          <w:p w14:paraId="10744C1B" w14:textId="77777777" w:rsidR="00832B34" w:rsidRDefault="00832B34" w:rsidP="001D2DB5">
            <w:pPr>
              <w:spacing w:line="360" w:lineRule="auto"/>
              <w:jc w:val="both"/>
              <w:rPr>
                <w:rFonts w:cstheme="minorHAnsi"/>
              </w:rPr>
            </w:pPr>
          </w:p>
          <w:p w14:paraId="6CC244A0" w14:textId="5A8DE418" w:rsidR="0033502D" w:rsidRPr="001D2DB5" w:rsidRDefault="00FC1C9B" w:rsidP="001D2DB5">
            <w:pPr>
              <w:spacing w:line="360" w:lineRule="auto"/>
              <w:jc w:val="both"/>
              <w:rPr>
                <w:rFonts w:cstheme="minorHAnsi"/>
              </w:rPr>
            </w:pPr>
            <w:r w:rsidRPr="001D2DB5">
              <w:rPr>
                <w:rFonts w:cstheme="minorHAnsi"/>
              </w:rPr>
              <w:t xml:space="preserve"> </w:t>
            </w:r>
            <w:r w:rsidR="0033502D" w:rsidRPr="001D2DB5">
              <w:rPr>
                <w:rFonts w:cstheme="minorHAnsi"/>
              </w:rPr>
              <w:t>Gezien het aantal schurftgevallen, wordt schur</w:t>
            </w:r>
            <w:r w:rsidR="001E6A75" w:rsidRPr="001D2DB5">
              <w:rPr>
                <w:rFonts w:cstheme="minorHAnsi"/>
              </w:rPr>
              <w:t xml:space="preserve">ft heel specifiek bevraagd. Een actieve </w:t>
            </w:r>
            <w:r w:rsidRPr="001D2DB5">
              <w:rPr>
                <w:rFonts w:cstheme="minorHAnsi"/>
              </w:rPr>
              <w:t xml:space="preserve">systematische </w:t>
            </w:r>
            <w:r w:rsidR="001E6A75" w:rsidRPr="001D2DB5">
              <w:rPr>
                <w:rFonts w:cstheme="minorHAnsi"/>
              </w:rPr>
              <w:t>screening gebeur</w:t>
            </w:r>
            <w:r w:rsidRPr="001D2DB5">
              <w:rPr>
                <w:rFonts w:cstheme="minorHAnsi"/>
              </w:rPr>
              <w:t>t</w:t>
            </w:r>
            <w:r w:rsidR="001E6A75" w:rsidRPr="001D2DB5">
              <w:rPr>
                <w:rFonts w:cstheme="minorHAnsi"/>
              </w:rPr>
              <w:t xml:space="preserve"> enkel voor tuberculose. Elke </w:t>
            </w:r>
            <w:r w:rsidRPr="001D2DB5">
              <w:rPr>
                <w:rFonts w:cstheme="minorHAnsi"/>
              </w:rPr>
              <w:t xml:space="preserve">nieuwkomer vanaf 5 jaar (tenzij contra-indicatie voor RX) krijgt een RX thorax op dispatching vóór hij in het opvangnetwerk wordt opgenomen. Indien geen RX kan genomen worden, wordt zo snel mogelijk een </w:t>
            </w:r>
            <w:proofErr w:type="spellStart"/>
            <w:r w:rsidRPr="001D2DB5">
              <w:rPr>
                <w:rFonts w:cstheme="minorHAnsi"/>
              </w:rPr>
              <w:t>intradermo</w:t>
            </w:r>
            <w:proofErr w:type="spellEnd"/>
            <w:r w:rsidRPr="001D2DB5">
              <w:rPr>
                <w:rFonts w:cstheme="minorHAnsi"/>
              </w:rPr>
              <w:t xml:space="preserve"> test geplaatst (opsporen tuberculose).</w:t>
            </w:r>
          </w:p>
          <w:p w14:paraId="13DE6781" w14:textId="77777777" w:rsidR="001D2DB5" w:rsidRDefault="001D2DB5" w:rsidP="001D2DB5">
            <w:pPr>
              <w:spacing w:line="360" w:lineRule="auto"/>
              <w:jc w:val="both"/>
              <w:rPr>
                <w:rFonts w:cstheme="minorHAnsi"/>
              </w:rPr>
            </w:pPr>
          </w:p>
          <w:p w14:paraId="1E4CB35F" w14:textId="76481471" w:rsidR="001D2DB5" w:rsidRDefault="001D2DB5" w:rsidP="001D2DB5">
            <w:pPr>
              <w:spacing w:line="360" w:lineRule="auto"/>
              <w:jc w:val="both"/>
              <w:rPr>
                <w:rFonts w:cstheme="minorHAnsi"/>
              </w:rPr>
            </w:pPr>
          </w:p>
          <w:p w14:paraId="4645398C" w14:textId="68BD8B7F" w:rsidR="00832B34" w:rsidRDefault="00832B34" w:rsidP="001D2DB5">
            <w:pPr>
              <w:spacing w:line="360" w:lineRule="auto"/>
              <w:jc w:val="both"/>
              <w:rPr>
                <w:rFonts w:cstheme="minorHAnsi"/>
              </w:rPr>
            </w:pPr>
          </w:p>
          <w:p w14:paraId="4A9D6698" w14:textId="77777777" w:rsidR="00832B34" w:rsidRPr="001D2DB5" w:rsidRDefault="00832B34" w:rsidP="001D2DB5">
            <w:pPr>
              <w:spacing w:line="360" w:lineRule="auto"/>
              <w:jc w:val="both"/>
              <w:rPr>
                <w:rFonts w:cstheme="minorHAnsi"/>
              </w:rPr>
            </w:pPr>
          </w:p>
          <w:p w14:paraId="6294DA2B" w14:textId="1C783D9E" w:rsidR="00FC1C9B" w:rsidRDefault="001D2DB5" w:rsidP="001D2DB5">
            <w:pPr>
              <w:spacing w:line="360" w:lineRule="auto"/>
              <w:jc w:val="both"/>
              <w:rPr>
                <w:rFonts w:cstheme="minorHAnsi"/>
              </w:rPr>
            </w:pPr>
            <w:r w:rsidRPr="001D2DB5">
              <w:rPr>
                <w:rFonts w:cstheme="minorHAnsi"/>
              </w:rPr>
              <w:t xml:space="preserve">2. </w:t>
            </w:r>
            <w:r w:rsidR="002644EE" w:rsidRPr="001D2DB5">
              <w:rPr>
                <w:rFonts w:cstheme="minorHAnsi"/>
              </w:rPr>
              <w:t>Na 6 en 12</w:t>
            </w:r>
            <w:r w:rsidR="00FC1C9B" w:rsidRPr="001D2DB5">
              <w:rPr>
                <w:rFonts w:cstheme="minorHAnsi"/>
              </w:rPr>
              <w:t xml:space="preserve"> maand wordt een vragenlijst afgenomen om te kijken of een persoon een risico heeft op een tuberculose infectie en of een nieuwe RX</w:t>
            </w:r>
            <w:r w:rsidR="002644EE" w:rsidRPr="001D2DB5">
              <w:rPr>
                <w:rFonts w:cstheme="minorHAnsi"/>
              </w:rPr>
              <w:t xml:space="preserve"> thorax</w:t>
            </w:r>
            <w:r w:rsidR="00FC1C9B" w:rsidRPr="001D2DB5">
              <w:rPr>
                <w:rFonts w:cstheme="minorHAnsi"/>
              </w:rPr>
              <w:t xml:space="preserve"> aangewezen is. </w:t>
            </w:r>
            <w:r w:rsidR="002644EE" w:rsidRPr="001D2DB5">
              <w:rPr>
                <w:rFonts w:cstheme="minorHAnsi"/>
              </w:rPr>
              <w:t xml:space="preserve">Een bloedafname wordt standaard voorgesteld aan elke </w:t>
            </w:r>
            <w:r w:rsidR="00832B34">
              <w:rPr>
                <w:rFonts w:cstheme="minorHAnsi"/>
              </w:rPr>
              <w:t>verzoeker om internationale bescherming</w:t>
            </w:r>
            <w:r w:rsidR="002644EE" w:rsidRPr="001D2DB5">
              <w:rPr>
                <w:rFonts w:cstheme="minorHAnsi"/>
              </w:rPr>
              <w:t xml:space="preserve"> eenmaal aangekomen in een tijdelijke opvangstructuur. Hierbij worden volgende ziektes opgespoord: hepatitis B, C, HIV, mits toestemming van de </w:t>
            </w:r>
            <w:r w:rsidR="00832B34">
              <w:rPr>
                <w:rFonts w:cstheme="minorHAnsi"/>
              </w:rPr>
              <w:t>verzoeker.</w:t>
            </w:r>
          </w:p>
          <w:p w14:paraId="7F8A187A" w14:textId="745AEE9A" w:rsidR="001D2DB5" w:rsidRDefault="001D2DB5" w:rsidP="001D2DB5">
            <w:pPr>
              <w:spacing w:line="360" w:lineRule="auto"/>
              <w:jc w:val="both"/>
              <w:rPr>
                <w:rFonts w:cstheme="minorHAnsi"/>
              </w:rPr>
            </w:pPr>
          </w:p>
          <w:p w14:paraId="5F8089B2" w14:textId="77777777" w:rsidR="00832B34" w:rsidRDefault="00832B34" w:rsidP="001D2DB5">
            <w:pPr>
              <w:spacing w:line="360" w:lineRule="auto"/>
              <w:jc w:val="both"/>
              <w:rPr>
                <w:rFonts w:cstheme="minorHAnsi"/>
              </w:rPr>
            </w:pPr>
          </w:p>
          <w:p w14:paraId="4935DB70" w14:textId="0FC0D700" w:rsidR="002644EE" w:rsidRDefault="001D2DB5" w:rsidP="001D2DB5">
            <w:pPr>
              <w:spacing w:line="360" w:lineRule="auto"/>
              <w:jc w:val="both"/>
              <w:rPr>
                <w:rFonts w:eastAsia="Times New Roman" w:cstheme="minorHAnsi"/>
                <w:lang w:eastAsia="nl-BE"/>
              </w:rPr>
            </w:pPr>
            <w:r>
              <w:rPr>
                <w:rFonts w:cstheme="minorHAnsi"/>
              </w:rPr>
              <w:t xml:space="preserve">3. </w:t>
            </w:r>
            <w:r w:rsidR="002644EE" w:rsidRPr="00413283">
              <w:rPr>
                <w:rFonts w:eastAsia="Times New Roman" w:cstheme="minorHAnsi"/>
                <w:lang w:eastAsia="nl-BE"/>
              </w:rPr>
              <w:t xml:space="preserve">De screening geldt voor het </w:t>
            </w:r>
            <w:r w:rsidR="00832B34">
              <w:rPr>
                <w:rFonts w:eastAsia="Times New Roman" w:cstheme="minorHAnsi"/>
                <w:lang w:eastAsia="nl-BE"/>
              </w:rPr>
              <w:t>gehele opvang</w:t>
            </w:r>
            <w:r w:rsidR="002644EE" w:rsidRPr="00413283">
              <w:rPr>
                <w:rFonts w:eastAsia="Times New Roman" w:cstheme="minorHAnsi"/>
                <w:lang w:eastAsia="nl-BE"/>
              </w:rPr>
              <w:t>netwerk.</w:t>
            </w:r>
          </w:p>
          <w:p w14:paraId="599815F3" w14:textId="77777777" w:rsidR="001D2DB5" w:rsidRDefault="001D2DB5" w:rsidP="001D2DB5">
            <w:pPr>
              <w:spacing w:line="360" w:lineRule="auto"/>
              <w:jc w:val="both"/>
              <w:rPr>
                <w:rFonts w:eastAsia="Times New Roman" w:cstheme="minorHAnsi"/>
                <w:lang w:eastAsia="nl-BE"/>
              </w:rPr>
            </w:pPr>
          </w:p>
          <w:p w14:paraId="3560F68B" w14:textId="77777777" w:rsidR="00832B34" w:rsidRDefault="001D2DB5" w:rsidP="001D2DB5">
            <w:pPr>
              <w:spacing w:line="360" w:lineRule="auto"/>
              <w:jc w:val="both"/>
              <w:rPr>
                <w:rFonts w:eastAsia="Times New Roman" w:cstheme="minorHAnsi"/>
                <w:lang w:eastAsia="nl-BE"/>
              </w:rPr>
            </w:pPr>
            <w:r>
              <w:rPr>
                <w:rFonts w:eastAsia="Times New Roman" w:cstheme="minorHAnsi"/>
                <w:lang w:eastAsia="nl-BE"/>
              </w:rPr>
              <w:t xml:space="preserve">4. </w:t>
            </w:r>
            <w:r w:rsidR="00832B34">
              <w:rPr>
                <w:rFonts w:eastAsia="Times New Roman" w:cstheme="minorHAnsi"/>
                <w:lang w:eastAsia="nl-BE"/>
              </w:rPr>
              <w:t>Hieronder vindt u de cijfers tot en met 30 september 2022.</w:t>
            </w:r>
          </w:p>
          <w:p w14:paraId="7DE37CAE" w14:textId="77777777" w:rsidR="00832B34" w:rsidRDefault="00832B34" w:rsidP="001D2DB5">
            <w:pPr>
              <w:spacing w:line="360" w:lineRule="auto"/>
              <w:jc w:val="both"/>
              <w:rPr>
                <w:rFonts w:eastAsia="Times New Roman" w:cstheme="minorHAnsi"/>
                <w:lang w:eastAsia="nl-BE"/>
              </w:rPr>
            </w:pPr>
          </w:p>
          <w:p w14:paraId="3382837A" w14:textId="438348F8" w:rsidR="002644EE" w:rsidRDefault="00045479" w:rsidP="001D2DB5">
            <w:pPr>
              <w:spacing w:line="360" w:lineRule="auto"/>
              <w:jc w:val="both"/>
              <w:rPr>
                <w:rFonts w:eastAsia="Times New Roman" w:cstheme="minorHAnsi"/>
                <w:lang w:eastAsia="nl-BE"/>
              </w:rPr>
            </w:pPr>
            <w:r>
              <w:rPr>
                <w:rFonts w:eastAsia="Times New Roman" w:cstheme="minorHAnsi"/>
                <w:lang w:eastAsia="nl-BE"/>
              </w:rPr>
              <w:t xml:space="preserve">De cijfers van </w:t>
            </w:r>
            <w:r w:rsidR="00832B34">
              <w:rPr>
                <w:rFonts w:eastAsia="Times New Roman" w:cstheme="minorHAnsi"/>
                <w:lang w:eastAsia="nl-BE"/>
              </w:rPr>
              <w:t>D</w:t>
            </w:r>
            <w:r>
              <w:rPr>
                <w:rFonts w:eastAsia="Times New Roman" w:cstheme="minorHAnsi"/>
                <w:lang w:eastAsia="nl-BE"/>
              </w:rPr>
              <w:t>ispatching zijn voor iedereen die het netwerk binnen</w:t>
            </w:r>
            <w:r w:rsidR="00832B34">
              <w:rPr>
                <w:rFonts w:eastAsia="Times New Roman" w:cstheme="minorHAnsi"/>
                <w:lang w:eastAsia="nl-BE"/>
              </w:rPr>
              <w:t>komt</w:t>
            </w:r>
            <w:r>
              <w:rPr>
                <w:rFonts w:eastAsia="Times New Roman" w:cstheme="minorHAnsi"/>
                <w:lang w:eastAsia="nl-BE"/>
              </w:rPr>
              <w:t>. De cijfers voor de opvangcentra betreffen enkel de federale opvangcentra</w:t>
            </w:r>
            <w:r w:rsidR="00832B34">
              <w:rPr>
                <w:rFonts w:eastAsia="Times New Roman" w:cstheme="minorHAnsi"/>
                <w:lang w:eastAsia="nl-BE"/>
              </w:rPr>
              <w:t xml:space="preserve"> van Fedasil.</w:t>
            </w:r>
          </w:p>
          <w:p w14:paraId="38B89C28" w14:textId="58ED7037" w:rsidR="2923DF7C" w:rsidRPr="00413283" w:rsidRDefault="2923DF7C" w:rsidP="00BB0F7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32B34" w:rsidRPr="0097504C" w14:paraId="64E91162" w14:textId="77777777" w:rsidTr="00E41361">
        <w:tc>
          <w:tcPr>
            <w:tcW w:w="9066" w:type="dxa"/>
            <w:gridSpan w:val="2"/>
          </w:tcPr>
          <w:tbl>
            <w:tblPr>
              <w:tblpPr w:leftFromText="141" w:rightFromText="141" w:vertAnchor="text" w:horzAnchor="margin" w:tblpXSpec="center" w:tblpY="-114"/>
              <w:tblOverlap w:val="never"/>
              <w:tblW w:w="841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2084"/>
              <w:gridCol w:w="800"/>
              <w:gridCol w:w="962"/>
              <w:gridCol w:w="801"/>
              <w:gridCol w:w="884"/>
            </w:tblGrid>
            <w:tr w:rsidR="00E41361" w:rsidRPr="00326ECE" w14:paraId="639BB85D" w14:textId="77777777" w:rsidTr="00E41361">
              <w:trPr>
                <w:trHeight w:val="528"/>
              </w:trPr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3F6B5CEA" w14:textId="6DD0CA0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lastRenderedPageBreak/>
                    <w:t>Gevallen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/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cas</w:t>
                  </w:r>
                  <w:proofErr w:type="spellEnd"/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 xml:space="preserve"> Dispatching </w:t>
                  </w:r>
                </w:p>
              </w:tc>
              <w:tc>
                <w:tcPr>
                  <w:tcW w:w="2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14D849AA" w14:textId="4D757C96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2022 (1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er</w:t>
                  </w: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 xml:space="preserve"> </w:t>
                  </w:r>
                  <w:proofErr w:type="spellStart"/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semestre</w:t>
                  </w:r>
                  <w:proofErr w:type="spellEnd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 xml:space="preserve"> – 1</w:t>
                  </w:r>
                  <w:r w:rsidRPr="00832B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vertAlign w:val="superscript"/>
                      <w:lang w:eastAsia="nl-BE"/>
                    </w:rPr>
                    <w:t>ste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 xml:space="preserve"> semester</w:t>
                  </w:r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)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488EAB44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2021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244D257F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2020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3EA45227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2019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40F073EA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2018</w:t>
                  </w:r>
                </w:p>
              </w:tc>
            </w:tr>
            <w:tr w:rsidR="00832B34" w:rsidRPr="00326ECE" w14:paraId="416B7F85" w14:textId="77777777" w:rsidTr="00E41361">
              <w:trPr>
                <w:trHeight w:val="275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67FCB840" w14:textId="5BC80A91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Mazelen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/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rougeole</w:t>
                  </w:r>
                  <w:proofErr w:type="spellEnd"/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561BD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37E7B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800F6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9B3C4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203E1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</w:tr>
            <w:tr w:rsidR="00832B34" w:rsidRPr="00326ECE" w14:paraId="4643B03B" w14:textId="77777777" w:rsidTr="00E41361">
              <w:trPr>
                <w:trHeight w:val="275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5407DCAF" w14:textId="3DD7BA53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Difterie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/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diphtérie</w:t>
                  </w:r>
                  <w:proofErr w:type="spellEnd"/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A0C27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10132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7AA83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54B24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1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07EF8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</w:tr>
            <w:tr w:rsidR="00832B34" w:rsidRPr="00326ECE" w14:paraId="3552AE42" w14:textId="77777777" w:rsidTr="00E41361">
              <w:trPr>
                <w:trHeight w:val="275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2DCCB3DB" w14:textId="0469EADE" w:rsidR="00832B34" w:rsidRPr="00326ECE" w:rsidRDefault="00E41361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K</w:t>
                  </w:r>
                  <w:r w:rsidR="00832B34"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inkhoest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/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coqueluche</w:t>
                  </w:r>
                  <w:proofErr w:type="spellEnd"/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CAC08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06FB8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AC440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7C65C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17BAF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</w:tr>
            <w:tr w:rsidR="00832B34" w:rsidRPr="00326ECE" w14:paraId="134301BC" w14:textId="77777777" w:rsidTr="00E41361">
              <w:trPr>
                <w:trHeight w:val="275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3FF3F0F8" w14:textId="10631E3B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bof/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oreillons</w:t>
                  </w:r>
                  <w:proofErr w:type="spellEnd"/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02F84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B9120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B5EF9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77B4D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23B20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</w:tr>
            <w:tr w:rsidR="00832B34" w:rsidRPr="00326ECE" w14:paraId="1EF2B565" w14:textId="77777777" w:rsidTr="00E41361">
              <w:trPr>
                <w:trHeight w:val="275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0CA64B3D" w14:textId="14CB4E94" w:rsidR="00832B34" w:rsidRPr="00326ECE" w:rsidRDefault="00E41361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R</w:t>
                  </w:r>
                  <w:r w:rsidR="00832B34"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ubella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/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rubéole</w:t>
                  </w:r>
                  <w:proofErr w:type="spellEnd"/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110A4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8473B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1929A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1F490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01140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</w:tr>
            <w:tr w:rsidR="00832B34" w:rsidRPr="00326ECE" w14:paraId="2D2B5161" w14:textId="77777777" w:rsidTr="00E41361">
              <w:trPr>
                <w:trHeight w:val="275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6025A1CE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lastRenderedPageBreak/>
                    <w:t>polio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D4BEE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6B91C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8443D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EE7C33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F9887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</w:tr>
            <w:tr w:rsidR="00832B34" w:rsidRPr="00326ECE" w14:paraId="2C8498B4" w14:textId="77777777" w:rsidTr="00E41361">
              <w:trPr>
                <w:trHeight w:val="275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71DDC403" w14:textId="42622A91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hepatitis A</w:t>
                  </w:r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/</w:t>
                  </w:r>
                  <w:proofErr w:type="spellStart"/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hépatite</w:t>
                  </w:r>
                  <w:proofErr w:type="spellEnd"/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 xml:space="preserve"> A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595C2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F1841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6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25B38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23283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883CA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</w:tr>
            <w:tr w:rsidR="00832B34" w:rsidRPr="00326ECE" w14:paraId="330F6AC0" w14:textId="77777777" w:rsidTr="00E41361">
              <w:trPr>
                <w:trHeight w:val="275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75E2ED55" w14:textId="097D29D0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hepatitis B</w:t>
                  </w:r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/</w:t>
                  </w:r>
                  <w:proofErr w:type="spellStart"/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hépatite</w:t>
                  </w:r>
                  <w:proofErr w:type="spellEnd"/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 xml:space="preserve"> B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7BBB5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8E2E6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35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56AB8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BF487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11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0B72A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5</w:t>
                  </w:r>
                </w:p>
              </w:tc>
            </w:tr>
            <w:tr w:rsidR="00832B34" w:rsidRPr="00326ECE" w14:paraId="2D27EC94" w14:textId="77777777" w:rsidTr="00E41361">
              <w:trPr>
                <w:trHeight w:val="275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717F0CD5" w14:textId="27790ACD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hepatitis C</w:t>
                  </w:r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/</w:t>
                  </w:r>
                  <w:proofErr w:type="spellStart"/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hépatite</w:t>
                  </w:r>
                  <w:proofErr w:type="spellEnd"/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 xml:space="preserve"> C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C335A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AD3CA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9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BF342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FDCA7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16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0DCEB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5</w:t>
                  </w:r>
                </w:p>
              </w:tc>
            </w:tr>
            <w:tr w:rsidR="00832B34" w:rsidRPr="00326ECE" w14:paraId="15647F47" w14:textId="77777777" w:rsidTr="00E41361">
              <w:trPr>
                <w:trHeight w:val="275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6FABAEFF" w14:textId="17E1B49C" w:rsidR="00832B34" w:rsidRPr="00326ECE" w:rsidRDefault="00E41361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P</w:t>
                  </w:r>
                  <w:r w:rsidR="00832B34"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neumokokken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/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pneumococcique</w:t>
                  </w:r>
                  <w:proofErr w:type="spellEnd"/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5668C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BD0B7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2DDBD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16CA7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2506E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</w:tr>
            <w:tr w:rsidR="00832B34" w:rsidRPr="00326ECE" w14:paraId="7DFD343A" w14:textId="77777777" w:rsidTr="00E41361">
              <w:trPr>
                <w:trHeight w:val="275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4B738F40" w14:textId="28BD5CF2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TBC</w:t>
                  </w:r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/TB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B5687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16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34F70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95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4B3FB9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33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87359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16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E00B0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7</w:t>
                  </w:r>
                </w:p>
              </w:tc>
            </w:tr>
            <w:tr w:rsidR="00832B34" w:rsidRPr="00326ECE" w14:paraId="6B232EC9" w14:textId="77777777" w:rsidTr="00E41361">
              <w:trPr>
                <w:trHeight w:val="275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75C9A288" w14:textId="646BD312" w:rsidR="00832B34" w:rsidRPr="00326ECE" w:rsidRDefault="00E41361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S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c</w:t>
                  </w:r>
                  <w:r w:rsidR="00832B34"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hurft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/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gale</w:t>
                  </w:r>
                  <w:proofErr w:type="spellEnd"/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D3936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370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8A58F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1980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429BA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210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1A90D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92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F2174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12</w:t>
                  </w:r>
                </w:p>
              </w:tc>
            </w:tr>
            <w:tr w:rsidR="00832B34" w:rsidRPr="00326ECE" w14:paraId="51A86128" w14:textId="77777777" w:rsidTr="00E41361">
              <w:trPr>
                <w:trHeight w:val="275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3FC6D872" w14:textId="5664D85C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HIV</w:t>
                  </w:r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/VIH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A57F8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D94AA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18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D3A37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22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F1E94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5025D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3</w:t>
                  </w:r>
                </w:p>
              </w:tc>
            </w:tr>
            <w:tr w:rsidR="00832B34" w:rsidRPr="00326ECE" w14:paraId="1D3C60A6" w14:textId="77777777" w:rsidTr="00E41361">
              <w:trPr>
                <w:trHeight w:val="275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43A41E49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Ebola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ABFCC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CB074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A2695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7172B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09BF8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</w:tr>
            <w:tr w:rsidR="00832B34" w:rsidRPr="00326ECE" w14:paraId="20BC2CB9" w14:textId="77777777" w:rsidTr="00E41361">
              <w:trPr>
                <w:trHeight w:val="275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305474D5" w14:textId="12709433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(apen)pokken</w:t>
                  </w:r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/</w:t>
                  </w:r>
                  <w:proofErr w:type="spellStart"/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variole</w:t>
                  </w:r>
                  <w:proofErr w:type="spellEnd"/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 xml:space="preserve"> (du </w:t>
                  </w:r>
                  <w:proofErr w:type="spellStart"/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singe</w:t>
                  </w:r>
                  <w:proofErr w:type="spellEnd"/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)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2CF85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FE75F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C2158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8144C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F6D98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</w:tr>
            <w:tr w:rsidR="00832B34" w:rsidRPr="00326ECE" w14:paraId="66D27CE5" w14:textId="77777777" w:rsidTr="00E41361">
              <w:trPr>
                <w:trHeight w:val="275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6E0C7A23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COVID-19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6951C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319*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351E0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362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8DE36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17D4E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1024F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0</w:t>
                  </w:r>
                </w:p>
              </w:tc>
            </w:tr>
            <w:tr w:rsidR="00832B34" w:rsidRPr="00326ECE" w14:paraId="6D13FEE2" w14:textId="77777777" w:rsidTr="00E41361">
              <w:trPr>
                <w:trHeight w:val="275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340E421F" w14:textId="1A4D6EFC" w:rsidR="00832B34" w:rsidRPr="00326ECE" w:rsidRDefault="00E41361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m</w:t>
                  </w:r>
                  <w:r w:rsidR="00832B34" w:rsidRPr="00326E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alaria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B6C71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N/A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BE1FA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N/A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8ECC5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N/A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FF6D7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N/A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D7590" w14:textId="77777777" w:rsidR="00832B34" w:rsidRPr="00326ECE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</w:pPr>
                  <w:r w:rsidRPr="00326EC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nl-BE"/>
                    </w:rPr>
                    <w:t>N/A</w:t>
                  </w:r>
                </w:p>
              </w:tc>
            </w:tr>
          </w:tbl>
          <w:p w14:paraId="5023A660" w14:textId="02B2A385" w:rsidR="00E41361" w:rsidRPr="00E41361" w:rsidRDefault="00E41361" w:rsidP="001D2DB5">
            <w:pPr>
              <w:spacing w:line="360" w:lineRule="auto"/>
              <w:jc w:val="both"/>
              <w:rPr>
                <w:rFonts w:cstheme="minorHAnsi"/>
              </w:rPr>
            </w:pPr>
            <w:r w:rsidRPr="00E413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  <w:t>*</w:t>
            </w:r>
            <w:proofErr w:type="spellStart"/>
            <w:r w:rsidRPr="00E413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  <w:t>chiffre</w:t>
            </w:r>
            <w:proofErr w:type="spellEnd"/>
            <w:r w:rsidRPr="00E413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413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  <w:t>jusqu'au</w:t>
            </w:r>
            <w:proofErr w:type="spellEnd"/>
            <w:r w:rsidRPr="00E413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  <w:t xml:space="preserve"> 30 </w:t>
            </w:r>
            <w:proofErr w:type="spellStart"/>
            <w:r w:rsidRPr="00E413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  <w:t>septembre</w:t>
            </w:r>
            <w:proofErr w:type="spellEnd"/>
            <w:r w:rsidRPr="00E413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  <w:t xml:space="preserve"> 2022 / *cijfer tot 30 september 2022</w:t>
            </w:r>
          </w:p>
          <w:tbl>
            <w:tblPr>
              <w:tblW w:w="888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63"/>
              <w:gridCol w:w="2211"/>
              <w:gridCol w:w="992"/>
              <w:gridCol w:w="992"/>
              <w:gridCol w:w="851"/>
              <w:gridCol w:w="772"/>
            </w:tblGrid>
            <w:tr w:rsidR="00E41361" w:rsidRPr="0097504C" w14:paraId="6C707FCA" w14:textId="77777777" w:rsidTr="00E41361">
              <w:trPr>
                <w:trHeight w:val="1104"/>
              </w:trPr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30FCC7DD" w14:textId="12DACC48" w:rsidR="00832B34" w:rsidRPr="00832B34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proofErr w:type="spellStart"/>
                  <w:r w:rsidRPr="00832B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Gevallen</w:t>
                  </w:r>
                  <w:proofErr w:type="spellEnd"/>
                  <w:r w:rsidRPr="00832B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 xml:space="preserve"> </w:t>
                  </w:r>
                  <w:proofErr w:type="spellStart"/>
                  <w:r w:rsidRPr="00832B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opvangcentra</w:t>
                  </w:r>
                  <w:proofErr w:type="spellEnd"/>
                  <w:r w:rsidRPr="00832B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 xml:space="preserve"> </w:t>
                  </w:r>
                  <w:proofErr w:type="spellStart"/>
                  <w:r w:rsidRPr="00832B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Fedasil</w:t>
                  </w:r>
                  <w:proofErr w:type="spellEnd"/>
                  <w:r w:rsidRPr="00832B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/cas ce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ntres d’accueil Fedasil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6C8C44EC" w14:textId="11C1A7A3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2022  (1</w:t>
                  </w:r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er</w:t>
                  </w:r>
                  <w:r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 xml:space="preserve"> semestre</w:t>
                  </w:r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 xml:space="preserve"> – 1ste </w:t>
                  </w:r>
                  <w:proofErr w:type="spellStart"/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semester</w:t>
                  </w:r>
                  <w:proofErr w:type="spellEnd"/>
                  <w:r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5C3CF131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28FDCE87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2020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2BE8CFD6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2019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1D7A0076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2018</w:t>
                  </w:r>
                </w:p>
              </w:tc>
            </w:tr>
            <w:tr w:rsidR="00E41361" w:rsidRPr="0097504C" w14:paraId="233E8A34" w14:textId="77777777" w:rsidTr="00E41361">
              <w:trPr>
                <w:trHeight w:val="288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32E348D1" w14:textId="0EA4C60E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proofErr w:type="spellStart"/>
                  <w:r w:rsidRP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Mazelen</w:t>
                  </w:r>
                  <w:proofErr w:type="spellEnd"/>
                  <w:r w:rsidRP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/rougeole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D4B12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5E6E0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70A73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8A6FC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AD6C8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</w:tr>
            <w:tr w:rsidR="00E41361" w:rsidRPr="0097504C" w14:paraId="02047B4A" w14:textId="77777777" w:rsidTr="00E41361">
              <w:trPr>
                <w:trHeight w:val="288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3148B4AC" w14:textId="00B9DF1A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proofErr w:type="spellStart"/>
                  <w:r w:rsidRP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Difterie</w:t>
                  </w:r>
                  <w:proofErr w:type="spellEnd"/>
                  <w:r w:rsidRP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/diphtérie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804C6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BF50C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4B463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90A71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247AC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</w:tr>
            <w:tr w:rsidR="00E41361" w:rsidRPr="0097504C" w14:paraId="50B46062" w14:textId="77777777" w:rsidTr="00E41361">
              <w:trPr>
                <w:trHeight w:val="288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00FA6548" w14:textId="12C22544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proofErr w:type="spellStart"/>
                  <w:r w:rsidRP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Kinkhoest</w:t>
                  </w:r>
                  <w:proofErr w:type="spellEnd"/>
                  <w:r w:rsidRP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/coqueluche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C32C2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3FE68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3C2D8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6BFA4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2FB6E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</w:tr>
            <w:tr w:rsidR="00E41361" w:rsidRPr="0097504C" w14:paraId="69780C98" w14:textId="77777777" w:rsidTr="00E41361">
              <w:trPr>
                <w:trHeight w:val="288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32E27CFF" w14:textId="02E5986C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r w:rsidRP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bof/oreillons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223F8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8AB90F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A57BB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46E43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6C532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</w:tr>
            <w:tr w:rsidR="00E41361" w:rsidRPr="0097504C" w14:paraId="714653D4" w14:textId="77777777" w:rsidTr="00E41361">
              <w:trPr>
                <w:trHeight w:val="288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3D87FF9B" w14:textId="6CCE53E0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proofErr w:type="spellStart"/>
                  <w:r w:rsidRP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Rubella</w:t>
                  </w:r>
                  <w:proofErr w:type="spellEnd"/>
                  <w:r w:rsidRP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/rubéole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5B5BA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960EF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88BC9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78B7E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F22CA" w14:textId="77777777" w:rsidR="00E41361" w:rsidRPr="00D134E9" w:rsidRDefault="00E41361" w:rsidP="00E4136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</w:tr>
            <w:tr w:rsidR="00E41361" w:rsidRPr="0097504C" w14:paraId="1A78E85D" w14:textId="77777777" w:rsidTr="00E41361">
              <w:trPr>
                <w:trHeight w:val="288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320AF1EA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polio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F6842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FAC67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5D1FF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5F0AA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FE791C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</w:tr>
            <w:tr w:rsidR="00E41361" w:rsidRPr="0097504C" w14:paraId="352A303B" w14:textId="77777777" w:rsidTr="00E41361">
              <w:trPr>
                <w:trHeight w:val="288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2B76EC50" w14:textId="00C8D638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proofErr w:type="spellStart"/>
                  <w:r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hepatitis</w:t>
                  </w:r>
                  <w:proofErr w:type="spellEnd"/>
                  <w:r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 xml:space="preserve"> A</w:t>
                  </w:r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/hépatite A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49035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CFE3F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28B2F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24AD1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CE501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</w:tr>
            <w:tr w:rsidR="00E41361" w:rsidRPr="0097504C" w14:paraId="59C97AAB" w14:textId="77777777" w:rsidTr="00E41361">
              <w:trPr>
                <w:trHeight w:val="288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2E890B3F" w14:textId="32A42832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proofErr w:type="spellStart"/>
                  <w:r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hepatitis</w:t>
                  </w:r>
                  <w:proofErr w:type="spellEnd"/>
                  <w:r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 xml:space="preserve"> B</w:t>
                  </w:r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/hépatite B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1321F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CBEFB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7765B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46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44C5D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90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25450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53</w:t>
                  </w:r>
                </w:p>
              </w:tc>
            </w:tr>
            <w:tr w:rsidR="00E41361" w:rsidRPr="0097504C" w14:paraId="1EF852C1" w14:textId="77777777" w:rsidTr="00E41361">
              <w:trPr>
                <w:trHeight w:val="288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2173EAC2" w14:textId="769B8D9F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proofErr w:type="spellStart"/>
                  <w:r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hepatitis</w:t>
                  </w:r>
                  <w:proofErr w:type="spellEnd"/>
                  <w:r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 xml:space="preserve"> C</w:t>
                  </w:r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/hépatite C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1D8E2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A5016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F2ABD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79131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41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9DA4C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38</w:t>
                  </w:r>
                </w:p>
              </w:tc>
            </w:tr>
            <w:tr w:rsidR="00E41361" w:rsidRPr="0097504C" w14:paraId="6A0E697E" w14:textId="77777777" w:rsidTr="00E41361">
              <w:trPr>
                <w:trHeight w:val="288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378B71FB" w14:textId="351B3448" w:rsidR="00832B34" w:rsidRPr="00D134E9" w:rsidRDefault="00E41361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proofErr w:type="spellStart"/>
                  <w:r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P</w:t>
                  </w:r>
                  <w:r w:rsidR="00832B34"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neumokokken</w:t>
                  </w:r>
                  <w:proofErr w:type="spellEnd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/pneumococcique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0890A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946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6432F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C5A55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25D2D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D4935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</w:tr>
            <w:tr w:rsidR="00E41361" w:rsidRPr="0097504C" w14:paraId="44E27496" w14:textId="77777777" w:rsidTr="00E41361">
              <w:trPr>
                <w:trHeight w:val="288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45F1EE8D" w14:textId="2242438C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TBC</w:t>
                  </w:r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/TB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960A6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DC0CF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A8C76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61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B3460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55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538D7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45</w:t>
                  </w:r>
                </w:p>
              </w:tc>
            </w:tr>
            <w:tr w:rsidR="00E41361" w:rsidRPr="0097504C" w14:paraId="3CE67757" w14:textId="77777777" w:rsidTr="00E41361">
              <w:trPr>
                <w:trHeight w:val="288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3E9F6839" w14:textId="2C7009EF" w:rsidR="00832B34" w:rsidRPr="00D134E9" w:rsidRDefault="00E41361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proofErr w:type="spellStart"/>
                  <w:r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S</w:t>
                  </w:r>
                  <w:r w:rsidR="00832B34"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churft</w:t>
                  </w:r>
                  <w:proofErr w:type="spellEnd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/gale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E225C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N/A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8DA1F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890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4A1AB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838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ADEC3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541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096D1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337</w:t>
                  </w:r>
                </w:p>
              </w:tc>
            </w:tr>
            <w:tr w:rsidR="00E41361" w:rsidRPr="0097504C" w14:paraId="7909FD3B" w14:textId="77777777" w:rsidTr="00E41361">
              <w:trPr>
                <w:trHeight w:val="288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707D0CE9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HIV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52B5A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CD3F8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C9461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59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52B6C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89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FB46F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24</w:t>
                  </w:r>
                </w:p>
              </w:tc>
            </w:tr>
            <w:tr w:rsidR="00E41361" w:rsidRPr="0097504C" w14:paraId="777B22E6" w14:textId="77777777" w:rsidTr="00E41361">
              <w:trPr>
                <w:trHeight w:val="288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0F44CAC1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Ebola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30D93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CBAD6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875F0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15BFD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2F705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</w:tr>
            <w:tr w:rsidR="00E41361" w:rsidRPr="0097504C" w14:paraId="5251F822" w14:textId="77777777" w:rsidTr="00E41361">
              <w:trPr>
                <w:trHeight w:val="288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49F6D893" w14:textId="2675F7C8" w:rsidR="00832B34" w:rsidRPr="00E41361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r w:rsidRP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(</w:t>
                  </w:r>
                  <w:proofErr w:type="spellStart"/>
                  <w:r w:rsidRP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apen</w:t>
                  </w:r>
                  <w:proofErr w:type="spellEnd"/>
                  <w:r w:rsidRP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)</w:t>
                  </w:r>
                  <w:proofErr w:type="spellStart"/>
                  <w:r w:rsidRP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pokken</w:t>
                  </w:r>
                  <w:proofErr w:type="spellEnd"/>
                  <w:r w:rsidR="00E41361" w:rsidRP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/variole (du si</w:t>
                  </w:r>
                  <w:r w:rsidR="00E4136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nge)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F6588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6DBFD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23AA0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FCB10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E14D5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</w:tr>
            <w:tr w:rsidR="00E41361" w:rsidRPr="0097504C" w14:paraId="2592F446" w14:textId="77777777" w:rsidTr="00E41361">
              <w:trPr>
                <w:trHeight w:val="288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2DA91881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COVID-19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DD2C5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1461*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BBB76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2628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38D48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1728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0072E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04BA6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0</w:t>
                  </w:r>
                </w:p>
              </w:tc>
            </w:tr>
            <w:tr w:rsidR="00E41361" w:rsidRPr="0097504C" w14:paraId="3DB83075" w14:textId="77777777" w:rsidTr="00E41361">
              <w:trPr>
                <w:trHeight w:val="288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11B1FA86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fr-FR" w:eastAsia="nl-BE"/>
                    </w:rPr>
                    <w:t>malaria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49907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N/A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FA425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N/A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8E9FE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5AB35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N/A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60CDC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  <w:r w:rsidRPr="00D134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  <w:t>N/A</w:t>
                  </w:r>
                </w:p>
              </w:tc>
            </w:tr>
            <w:tr w:rsidR="00E41361" w:rsidRPr="0097504C" w14:paraId="6AE52C5F" w14:textId="77777777" w:rsidTr="00E41361">
              <w:trPr>
                <w:trHeight w:val="288"/>
              </w:trPr>
              <w:tc>
                <w:tcPr>
                  <w:tcW w:w="3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7DEDB" w14:textId="77777777" w:rsidR="00832B34" w:rsidRPr="00D134E9" w:rsidRDefault="00832B34" w:rsidP="00832B3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fr-FR" w:eastAsia="nl-BE"/>
                    </w:rPr>
                  </w:pP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D560B" w14:textId="77777777" w:rsidR="00832B34" w:rsidRPr="00D134E9" w:rsidRDefault="00832B34" w:rsidP="00832B3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nl-BE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ABFB5" w14:textId="77777777" w:rsidR="00832B34" w:rsidRPr="00D134E9" w:rsidRDefault="00832B34" w:rsidP="00832B3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nl-BE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9692E" w14:textId="77777777" w:rsidR="00832B34" w:rsidRPr="00D134E9" w:rsidRDefault="00832B34" w:rsidP="00832B3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nl-BE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4EF2B" w14:textId="77777777" w:rsidR="00832B34" w:rsidRPr="00D134E9" w:rsidRDefault="00832B34" w:rsidP="00832B3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nl-BE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7F600" w14:textId="77777777" w:rsidR="00832B34" w:rsidRPr="00D134E9" w:rsidRDefault="00832B34" w:rsidP="00832B3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nl-BE"/>
                    </w:rPr>
                  </w:pPr>
                </w:p>
              </w:tc>
            </w:tr>
          </w:tbl>
          <w:p w14:paraId="2DF58FF5" w14:textId="5EC1BEC4" w:rsidR="00832B34" w:rsidRPr="00E41361" w:rsidRDefault="00E41361" w:rsidP="001D2DB5">
            <w:pPr>
              <w:spacing w:line="360" w:lineRule="auto"/>
              <w:jc w:val="both"/>
              <w:rPr>
                <w:rFonts w:cstheme="minorHAnsi"/>
                <w:lang w:val="fr-FR"/>
              </w:rPr>
            </w:pPr>
            <w:r w:rsidRPr="00E4136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nl-BE"/>
              </w:rPr>
              <w:t>*chiffre jusqu'au 30 septembre 2022 / *</w:t>
            </w:r>
            <w:proofErr w:type="spellStart"/>
            <w:r w:rsidRPr="00E4136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nl-BE"/>
              </w:rPr>
              <w:t>cijfer</w:t>
            </w:r>
            <w:proofErr w:type="spellEnd"/>
            <w:r w:rsidRPr="00E4136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nl-BE"/>
              </w:rPr>
              <w:t xml:space="preserve"> </w:t>
            </w:r>
            <w:proofErr w:type="spellStart"/>
            <w:r w:rsidRPr="00E4136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nl-BE"/>
              </w:rPr>
              <w:t>tot</w:t>
            </w:r>
            <w:proofErr w:type="spellEnd"/>
            <w:r w:rsidRPr="00E4136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nl-BE"/>
              </w:rPr>
              <w:t xml:space="preserve"> 30 </w:t>
            </w:r>
            <w:proofErr w:type="spellStart"/>
            <w:r w:rsidRPr="00E4136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nl-BE"/>
              </w:rPr>
              <w:t>september</w:t>
            </w:r>
            <w:proofErr w:type="spellEnd"/>
            <w:r w:rsidRPr="00E4136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nl-BE"/>
              </w:rPr>
              <w:t xml:space="preserve"> 2022</w:t>
            </w:r>
          </w:p>
          <w:p w14:paraId="507CF5A8" w14:textId="1B8DE777" w:rsidR="00832B34" w:rsidRPr="00E41361" w:rsidRDefault="00832B34" w:rsidP="001D2DB5">
            <w:pPr>
              <w:spacing w:line="360" w:lineRule="auto"/>
              <w:jc w:val="both"/>
              <w:rPr>
                <w:rFonts w:cstheme="minorHAnsi"/>
                <w:lang w:val="fr-FR"/>
              </w:rPr>
            </w:pPr>
          </w:p>
        </w:tc>
      </w:tr>
      <w:tr w:rsidR="00832B34" w:rsidRPr="00413283" w14:paraId="4E2D33B9" w14:textId="77777777" w:rsidTr="00E41361">
        <w:tc>
          <w:tcPr>
            <w:tcW w:w="4533" w:type="dxa"/>
          </w:tcPr>
          <w:p w14:paraId="49037902" w14:textId="4AC8AD6C" w:rsidR="00832B34" w:rsidRDefault="00832B34" w:rsidP="00832B34">
            <w:pPr>
              <w:spacing w:line="360" w:lineRule="auto"/>
              <w:jc w:val="both"/>
              <w:rPr>
                <w:rFonts w:cstheme="minorHAnsi"/>
                <w:lang w:val="fr-BE"/>
              </w:rPr>
            </w:pPr>
            <w:r>
              <w:rPr>
                <w:rFonts w:cstheme="minorHAnsi"/>
                <w:lang w:val="fr-BE"/>
              </w:rPr>
              <w:lastRenderedPageBreak/>
              <w:t xml:space="preserve">5. </w:t>
            </w:r>
            <w:r w:rsidRPr="00BB0F7F">
              <w:rPr>
                <w:rFonts w:cstheme="minorHAnsi"/>
                <w:lang w:val="fr-BE"/>
              </w:rPr>
              <w:t xml:space="preserve">Oui, les nouveaux arrivants reçoivent une vaccination de base. Les vaccins administrés </w:t>
            </w:r>
            <w:r>
              <w:rPr>
                <w:rFonts w:cstheme="minorHAnsi"/>
                <w:lang w:val="fr-BE"/>
              </w:rPr>
              <w:t xml:space="preserve">au </w:t>
            </w:r>
            <w:r w:rsidR="00E41361">
              <w:rPr>
                <w:rFonts w:cstheme="minorHAnsi"/>
                <w:lang w:val="fr-BE"/>
              </w:rPr>
              <w:t>service D</w:t>
            </w:r>
            <w:r>
              <w:rPr>
                <w:rFonts w:cstheme="minorHAnsi"/>
                <w:lang w:val="fr-BE"/>
              </w:rPr>
              <w:t>ispatching</w:t>
            </w:r>
            <w:r w:rsidRPr="00BB0F7F">
              <w:rPr>
                <w:rFonts w:cstheme="minorHAnsi"/>
                <w:lang w:val="fr-BE"/>
              </w:rPr>
              <w:t xml:space="preserve"> sont payés par Fedasil (à partir de 6 ou 12 ans). Les vaccins de </w:t>
            </w:r>
            <w:r>
              <w:rPr>
                <w:rFonts w:cstheme="minorHAnsi"/>
                <w:lang w:val="fr-BE"/>
              </w:rPr>
              <w:t>suivi</w:t>
            </w:r>
            <w:r w:rsidRPr="00BB0F7F">
              <w:rPr>
                <w:rFonts w:cstheme="minorHAnsi"/>
                <w:lang w:val="fr-BE"/>
              </w:rPr>
              <w:t xml:space="preserve"> pour les adultes (+18) sont également pris en charge par Fedasil. Les enfants et les </w:t>
            </w:r>
            <w:r w:rsidRPr="00BB0F7F">
              <w:rPr>
                <w:rFonts w:cstheme="minorHAnsi"/>
                <w:lang w:val="fr-BE"/>
              </w:rPr>
              <w:lastRenderedPageBreak/>
              <w:t xml:space="preserve">adolescents reçoivent leurs vaccins de suivi par l'intermédiaire de </w:t>
            </w:r>
            <w:r>
              <w:rPr>
                <w:rFonts w:cstheme="minorHAnsi"/>
                <w:lang w:val="fr-BE"/>
              </w:rPr>
              <w:t>l’ONE</w:t>
            </w:r>
            <w:r w:rsidRPr="00BB0F7F">
              <w:rPr>
                <w:rFonts w:cstheme="minorHAnsi"/>
                <w:lang w:val="fr-BE"/>
              </w:rPr>
              <w:t xml:space="preserve"> et du </w:t>
            </w:r>
            <w:r>
              <w:rPr>
                <w:rFonts w:cstheme="minorHAnsi"/>
                <w:lang w:val="fr-BE"/>
              </w:rPr>
              <w:t>PMS</w:t>
            </w:r>
            <w:r w:rsidRPr="00BB0F7F">
              <w:rPr>
                <w:rFonts w:cstheme="minorHAnsi"/>
                <w:lang w:val="fr-BE"/>
              </w:rPr>
              <w:t>. Fedasil n'a aucune idée du coût pour les autorités régionales des vaccins de suivi administrés aux enfants et aux jeunes.</w:t>
            </w:r>
          </w:p>
          <w:p w14:paraId="25462682" w14:textId="77777777" w:rsidR="00832B34" w:rsidRDefault="00832B34" w:rsidP="00832B34">
            <w:pPr>
              <w:spacing w:line="360" w:lineRule="auto"/>
              <w:jc w:val="both"/>
              <w:rPr>
                <w:rFonts w:cstheme="minorHAnsi"/>
                <w:lang w:val="fr-BE"/>
              </w:rPr>
            </w:pPr>
          </w:p>
          <w:p w14:paraId="0F400878" w14:textId="77777777" w:rsidR="00832B34" w:rsidRPr="00CC129C" w:rsidRDefault="00832B34" w:rsidP="00832B34">
            <w:pPr>
              <w:spacing w:line="360" w:lineRule="auto"/>
              <w:jc w:val="both"/>
              <w:rPr>
                <w:rFonts w:cstheme="minorHAnsi"/>
                <w:lang w:val="fr-BE"/>
              </w:rPr>
            </w:pPr>
            <w:r>
              <w:rPr>
                <w:rFonts w:cstheme="minorHAnsi"/>
                <w:lang w:val="fr-BE"/>
              </w:rPr>
              <w:t xml:space="preserve">6. </w:t>
            </w:r>
            <w:r w:rsidRPr="00BB0F7F">
              <w:rPr>
                <w:rFonts w:cstheme="minorHAnsi"/>
                <w:lang w:val="fr-BE"/>
              </w:rPr>
              <w:t>Pour la plupart des maladies figurant dans la liste ci-dessus, le dépistage actif n'est pas possible, mais le diagnostic est posé au moment de l'apparition des symptômes.</w:t>
            </w:r>
          </w:p>
          <w:p w14:paraId="708964B4" w14:textId="77777777" w:rsidR="00832B34" w:rsidRDefault="00832B34" w:rsidP="001D2DB5">
            <w:pPr>
              <w:spacing w:line="360" w:lineRule="auto"/>
              <w:jc w:val="both"/>
              <w:rPr>
                <w:rFonts w:cstheme="minorHAnsi"/>
                <w:lang w:val="fr-BE"/>
              </w:rPr>
            </w:pPr>
          </w:p>
        </w:tc>
        <w:tc>
          <w:tcPr>
            <w:tcW w:w="4533" w:type="dxa"/>
          </w:tcPr>
          <w:p w14:paraId="14101373" w14:textId="05DE1EFC" w:rsidR="00832B34" w:rsidRDefault="00832B34" w:rsidP="00832B34">
            <w:pPr>
              <w:spacing w:line="360" w:lineRule="auto"/>
              <w:jc w:val="both"/>
              <w:rPr>
                <w:rFonts w:eastAsia="Times New Roman" w:cstheme="minorHAnsi"/>
                <w:lang w:eastAsia="nl-BE"/>
              </w:rPr>
            </w:pPr>
            <w:r>
              <w:rPr>
                <w:rFonts w:eastAsia="Times New Roman" w:cstheme="minorHAnsi"/>
                <w:lang w:eastAsia="nl-BE"/>
              </w:rPr>
              <w:lastRenderedPageBreak/>
              <w:t xml:space="preserve">5. </w:t>
            </w:r>
            <w:r w:rsidRPr="00413283">
              <w:rPr>
                <w:rFonts w:eastAsia="Times New Roman" w:cstheme="minorHAnsi"/>
                <w:lang w:eastAsia="nl-BE"/>
              </w:rPr>
              <w:t xml:space="preserve">Ja, nieuwkomers krijgen een basisvaccinatie. De vaccins gegeven op </w:t>
            </w:r>
            <w:r w:rsidR="00E41361">
              <w:rPr>
                <w:rFonts w:eastAsia="Times New Roman" w:cstheme="minorHAnsi"/>
                <w:lang w:eastAsia="nl-BE"/>
              </w:rPr>
              <w:t>de dienst D</w:t>
            </w:r>
            <w:r w:rsidRPr="00413283">
              <w:rPr>
                <w:rFonts w:eastAsia="Times New Roman" w:cstheme="minorHAnsi"/>
                <w:lang w:eastAsia="nl-BE"/>
              </w:rPr>
              <w:t xml:space="preserve">ispatching worden door Fedasil betaald (vanaf 6 of 12 jaar). De vervolgvaccins voor volwassenen (+18) worden ook door Fedasil betaald. Kinderen </w:t>
            </w:r>
            <w:r w:rsidRPr="00413283">
              <w:rPr>
                <w:rFonts w:eastAsia="Times New Roman" w:cstheme="minorHAnsi"/>
                <w:lang w:eastAsia="nl-BE"/>
              </w:rPr>
              <w:lastRenderedPageBreak/>
              <w:t>en jongeren krijgen hun vervolgvaccins via K&amp;G en het CLB. Fedasil heeft geen zicht op de kostprijs voor de regionale overheden van de vervolgvaccins gegeven aan kinderen en jongeren.</w:t>
            </w:r>
          </w:p>
          <w:p w14:paraId="313EB6FC" w14:textId="77777777" w:rsidR="00832B34" w:rsidRDefault="00832B34" w:rsidP="00832B34">
            <w:pPr>
              <w:spacing w:line="360" w:lineRule="auto"/>
              <w:jc w:val="both"/>
              <w:rPr>
                <w:rFonts w:eastAsia="Times New Roman" w:cstheme="minorHAnsi"/>
                <w:lang w:eastAsia="nl-BE"/>
              </w:rPr>
            </w:pPr>
          </w:p>
          <w:p w14:paraId="4DFEBD1C" w14:textId="77777777" w:rsidR="00832B34" w:rsidRPr="00413283" w:rsidRDefault="00832B34" w:rsidP="00832B34">
            <w:pPr>
              <w:spacing w:line="360" w:lineRule="auto"/>
              <w:jc w:val="both"/>
              <w:rPr>
                <w:rFonts w:eastAsia="Times New Roman" w:cstheme="minorHAnsi"/>
                <w:lang w:eastAsia="nl-BE"/>
              </w:rPr>
            </w:pPr>
            <w:r>
              <w:rPr>
                <w:rFonts w:eastAsia="Times New Roman" w:cstheme="minorHAnsi"/>
                <w:lang w:eastAsia="nl-BE"/>
              </w:rPr>
              <w:t xml:space="preserve">6. </w:t>
            </w:r>
            <w:r w:rsidRPr="00413283">
              <w:rPr>
                <w:rFonts w:eastAsia="Times New Roman" w:cstheme="minorHAnsi"/>
                <w:lang w:eastAsia="nl-BE"/>
              </w:rPr>
              <w:t xml:space="preserve">Voor de meeste ziekten opgenomen in de lijst hierboven is een actieve screening niet </w:t>
            </w:r>
            <w:r>
              <w:rPr>
                <w:rFonts w:eastAsia="Times New Roman" w:cstheme="minorHAnsi"/>
                <w:lang w:eastAsia="nl-BE"/>
              </w:rPr>
              <w:t>mogelijk, maar wordt de diagnose gesteld op het moment van de symptomen.</w:t>
            </w:r>
          </w:p>
          <w:p w14:paraId="61E94C9E" w14:textId="77777777" w:rsidR="00832B34" w:rsidRDefault="00832B34" w:rsidP="001D2DB5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E41361" w:rsidRPr="0097504C" w14:paraId="3E10E4AA" w14:textId="77777777" w:rsidTr="00E41361">
        <w:tc>
          <w:tcPr>
            <w:tcW w:w="9066" w:type="dxa"/>
            <w:gridSpan w:val="2"/>
          </w:tcPr>
          <w:p w14:paraId="4ECFD93A" w14:textId="77777777" w:rsidR="0097504C" w:rsidRPr="0097504C" w:rsidRDefault="0097504C" w:rsidP="00E41361">
            <w:pPr>
              <w:rPr>
                <w:b/>
                <w:bCs/>
              </w:rPr>
            </w:pPr>
          </w:p>
          <w:p w14:paraId="5EDCCB36" w14:textId="77777777" w:rsidR="0097504C" w:rsidRPr="0097504C" w:rsidRDefault="0097504C" w:rsidP="00E41361">
            <w:pPr>
              <w:rPr>
                <w:b/>
                <w:bCs/>
              </w:rPr>
            </w:pPr>
          </w:p>
          <w:p w14:paraId="04BC5080" w14:textId="77777777" w:rsidR="0097504C" w:rsidRPr="0097504C" w:rsidRDefault="0097504C" w:rsidP="00E41361">
            <w:pPr>
              <w:rPr>
                <w:b/>
                <w:bCs/>
              </w:rPr>
            </w:pPr>
          </w:p>
          <w:p w14:paraId="5D6570E7" w14:textId="576CD1E0" w:rsidR="00E41361" w:rsidRPr="0097504C" w:rsidRDefault="00E41361" w:rsidP="00E41361">
            <w:pPr>
              <w:rPr>
                <w:b/>
                <w:bCs/>
              </w:rPr>
            </w:pPr>
            <w:r w:rsidRPr="0097504C">
              <w:rPr>
                <w:b/>
                <w:bCs/>
              </w:rPr>
              <w:t>Nicole DE MOOR</w:t>
            </w:r>
          </w:p>
          <w:p w14:paraId="17A9328D" w14:textId="77777777" w:rsidR="00E41361" w:rsidRPr="0097504C" w:rsidRDefault="00E41361" w:rsidP="00E41361"/>
          <w:p w14:paraId="5104FC86" w14:textId="77777777" w:rsidR="00E41361" w:rsidRPr="0097504C" w:rsidRDefault="00E41361" w:rsidP="00E41361">
            <w:r w:rsidRPr="0097504C">
              <w:t>Staatssecretaris voor Asiel en Migratie</w:t>
            </w:r>
          </w:p>
          <w:p w14:paraId="5A7E65B6" w14:textId="47588E73" w:rsidR="00E41361" w:rsidRPr="0097504C" w:rsidRDefault="00E41361" w:rsidP="00E41361">
            <w:pPr>
              <w:spacing w:line="360" w:lineRule="auto"/>
              <w:jc w:val="both"/>
              <w:rPr>
                <w:rFonts w:eastAsia="Times New Roman" w:cstheme="minorHAnsi"/>
                <w:lang w:val="fr-FR" w:eastAsia="nl-BE"/>
              </w:rPr>
            </w:pPr>
            <w:r w:rsidRPr="00963E54">
              <w:rPr>
                <w:lang w:val="fr-FR"/>
              </w:rPr>
              <w:t>Secrétaire d’Etat à l’Asile et la Migration</w:t>
            </w:r>
          </w:p>
        </w:tc>
      </w:tr>
    </w:tbl>
    <w:p w14:paraId="1F04219A" w14:textId="56A03160" w:rsidR="2923DF7C" w:rsidRPr="00413283" w:rsidRDefault="2923DF7C" w:rsidP="00326ECE">
      <w:pPr>
        <w:rPr>
          <w:rFonts w:cstheme="minorHAnsi"/>
          <w:lang w:val="fr-FR"/>
        </w:rPr>
      </w:pPr>
    </w:p>
    <w:sectPr w:rsidR="2923DF7C" w:rsidRPr="00413283" w:rsidSect="002143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2D60"/>
    <w:multiLevelType w:val="hybridMultilevel"/>
    <w:tmpl w:val="01DCA30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65495"/>
    <w:multiLevelType w:val="hybridMultilevel"/>
    <w:tmpl w:val="65528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45A5F"/>
    <w:multiLevelType w:val="multilevel"/>
    <w:tmpl w:val="9206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CE00D2"/>
    <w:multiLevelType w:val="hybridMultilevel"/>
    <w:tmpl w:val="0704873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41"/>
    <w:rsid w:val="00045479"/>
    <w:rsid w:val="00054A47"/>
    <w:rsid w:val="0006539F"/>
    <w:rsid w:val="00102D41"/>
    <w:rsid w:val="001136BC"/>
    <w:rsid w:val="00151451"/>
    <w:rsid w:val="001D2DB5"/>
    <w:rsid w:val="001E6A75"/>
    <w:rsid w:val="0021433E"/>
    <w:rsid w:val="00234F44"/>
    <w:rsid w:val="002644EE"/>
    <w:rsid w:val="00326ECE"/>
    <w:rsid w:val="003345DB"/>
    <w:rsid w:val="00334CF5"/>
    <w:rsid w:val="0033502D"/>
    <w:rsid w:val="00351E54"/>
    <w:rsid w:val="003E5CE2"/>
    <w:rsid w:val="00413283"/>
    <w:rsid w:val="00736577"/>
    <w:rsid w:val="00741410"/>
    <w:rsid w:val="0074541F"/>
    <w:rsid w:val="007536BA"/>
    <w:rsid w:val="00795473"/>
    <w:rsid w:val="00832B34"/>
    <w:rsid w:val="00963E54"/>
    <w:rsid w:val="0097504C"/>
    <w:rsid w:val="00AB753A"/>
    <w:rsid w:val="00AF7F9C"/>
    <w:rsid w:val="00B25BE9"/>
    <w:rsid w:val="00B82B10"/>
    <w:rsid w:val="00BB0F7F"/>
    <w:rsid w:val="00C40D4D"/>
    <w:rsid w:val="00C91EE6"/>
    <w:rsid w:val="00CC129C"/>
    <w:rsid w:val="00D134E9"/>
    <w:rsid w:val="00DB6B3B"/>
    <w:rsid w:val="00E41361"/>
    <w:rsid w:val="00F77952"/>
    <w:rsid w:val="00F95787"/>
    <w:rsid w:val="00FB34F6"/>
    <w:rsid w:val="00FC1C9B"/>
    <w:rsid w:val="05568988"/>
    <w:rsid w:val="09E9534C"/>
    <w:rsid w:val="12A5007C"/>
    <w:rsid w:val="2004B702"/>
    <w:rsid w:val="208C381C"/>
    <w:rsid w:val="2923DF7C"/>
    <w:rsid w:val="2B9383D5"/>
    <w:rsid w:val="4436E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B3DC"/>
  <w15:docId w15:val="{6096D693-BF95-4328-8D90-C626480B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34F6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34F6"/>
    <w:rPr>
      <w:rFonts w:ascii="Times New Roman" w:hAnsi="Times New Roman" w:cs="Times New Roman"/>
      <w:sz w:val="18"/>
      <w:szCs w:val="18"/>
    </w:rPr>
  </w:style>
  <w:style w:type="paragraph" w:styleId="Plattetekst">
    <w:name w:val="Body Text"/>
    <w:basedOn w:val="Standaard"/>
    <w:link w:val="PlattetekstChar"/>
    <w:rsid w:val="00FB34F6"/>
    <w:pPr>
      <w:spacing w:before="57" w:after="57" w:line="230" w:lineRule="atLeast"/>
      <w:jc w:val="both"/>
    </w:pPr>
    <w:rPr>
      <w:rFonts w:ascii="Arial" w:eastAsia="Times New Roman" w:hAnsi="Arial" w:cs="Times New Roman"/>
      <w:sz w:val="18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FB34F6"/>
    <w:rPr>
      <w:rFonts w:ascii="Arial" w:eastAsia="Times New Roman" w:hAnsi="Arial" w:cs="Times New Roman"/>
      <w:sz w:val="18"/>
      <w:lang w:eastAsia="nl-NL"/>
    </w:rPr>
  </w:style>
  <w:style w:type="table" w:styleId="Tabelraster">
    <w:name w:val="Table Grid"/>
    <w:basedOn w:val="Standaardtabel"/>
    <w:uiPriority w:val="39"/>
    <w:rsid w:val="0074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3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E463C584B1E4AA2E4E8914140EA1E" ma:contentTypeVersion="16" ma:contentTypeDescription="Een nieuw document maken." ma:contentTypeScope="" ma:versionID="9195ee909f9fea34fec00e06c434a620">
  <xsd:schema xmlns:xsd="http://www.w3.org/2001/XMLSchema" xmlns:xs="http://www.w3.org/2001/XMLSchema" xmlns:p="http://schemas.microsoft.com/office/2006/metadata/properties" xmlns:ns2="e27007f6-d231-4c4d-a4db-e6e4a4047b79" xmlns:ns3="50faad49-0700-4bdf-99bc-c95abc6590b9" targetNamespace="http://schemas.microsoft.com/office/2006/metadata/properties" ma:root="true" ma:fieldsID="886a74136a01932897440bc019d4f6fe" ns2:_="" ns3:_="">
    <xsd:import namespace="e27007f6-d231-4c4d-a4db-e6e4a4047b79"/>
    <xsd:import namespace="50faad49-0700-4bdf-99bc-c95abc659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007f6-d231-4c4d-a4db-e6e4a4047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ad49-0700-4bdf-99bc-c95abc659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1c9e0f-3656-4a70-a382-1fa38bd6c351}" ma:internalName="TaxCatchAll" ma:showField="CatchAllData" ma:web="50faad49-0700-4bdf-99bc-c95abc659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faad49-0700-4bdf-99bc-c95abc6590b9" xsi:nil="true"/>
    <lcf76f155ced4ddcb4097134ff3c332f xmlns="e27007f6-d231-4c4d-a4db-e6e4a4047b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CF430-9313-4206-90C7-D23AB052B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007f6-d231-4c4d-a4db-e6e4a4047b79"/>
    <ds:schemaRef ds:uri="50faad49-0700-4bdf-99bc-c95abc659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D55BB-45D8-42F8-A006-46AD61F91020}">
  <ds:schemaRefs>
    <ds:schemaRef ds:uri="http://schemas.microsoft.com/office/2006/metadata/properties"/>
    <ds:schemaRef ds:uri="http://schemas.microsoft.com/office/infopath/2007/PartnerControls"/>
    <ds:schemaRef ds:uri="50faad49-0700-4bdf-99bc-c95abc6590b9"/>
    <ds:schemaRef ds:uri="e27007f6-d231-4c4d-a4db-e6e4a4047b79"/>
  </ds:schemaRefs>
</ds:datastoreItem>
</file>

<file path=customXml/itemProps3.xml><?xml version="1.0" encoding="utf-8"?>
<ds:datastoreItem xmlns:ds="http://schemas.openxmlformats.org/officeDocument/2006/customXml" ds:itemID="{F1D2E815-E4F6-4391-8EF7-8087086B2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5127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Poschet</dc:creator>
  <cp:keywords/>
  <dc:description/>
  <cp:lastModifiedBy>Lucas Hock (CKDEMOOR)</cp:lastModifiedBy>
  <cp:revision>4</cp:revision>
  <cp:lastPrinted>2023-01-05T14:12:00Z</cp:lastPrinted>
  <dcterms:created xsi:type="dcterms:W3CDTF">2022-12-22T08:40:00Z</dcterms:created>
  <dcterms:modified xsi:type="dcterms:W3CDTF">2023-01-05T15:03:00Z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0x010100899E463C584B1E4AA2E4E8914140EA1E</vt:lpwstr>
  </property>
</Properties>
</file>