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DFD7" w14:textId="77777777" w:rsidR="00214C83" w:rsidRPr="009E1210" w:rsidRDefault="00214C83" w:rsidP="00370F43">
      <w:pPr>
        <w:jc w:val="both"/>
        <w:outlineLvl w:val="0"/>
        <w:rPr>
          <w:rFonts w:ascii="Verdana" w:hAnsi="Verdana"/>
          <w:b/>
          <w:smallCaps/>
          <w:sz w:val="20"/>
          <w:lang w:val="nl-BE"/>
        </w:rPr>
      </w:pPr>
      <w:r w:rsidRPr="009E1210">
        <w:rPr>
          <w:rFonts w:ascii="Verdana" w:hAnsi="Verdana"/>
          <w:b/>
          <w:smallCaps/>
          <w:sz w:val="20"/>
          <w:lang w:val="nl-BE"/>
        </w:rPr>
        <w:t xml:space="preserve">jan </w:t>
      </w:r>
      <w:proofErr w:type="spellStart"/>
      <w:r w:rsidRPr="009E1210">
        <w:rPr>
          <w:rFonts w:ascii="Verdana" w:hAnsi="Verdana"/>
          <w:b/>
          <w:smallCaps/>
          <w:sz w:val="20"/>
          <w:lang w:val="nl-BE"/>
        </w:rPr>
        <w:t>jambon</w:t>
      </w:r>
      <w:proofErr w:type="spellEnd"/>
      <w:r w:rsidRPr="009E1210">
        <w:rPr>
          <w:rFonts w:ascii="Verdana" w:hAnsi="Verdana"/>
          <w:b/>
          <w:smallCaps/>
          <w:sz w:val="20"/>
          <w:lang w:val="nl-BE"/>
        </w:rPr>
        <w:t xml:space="preserve"> </w:t>
      </w:r>
    </w:p>
    <w:p w14:paraId="2BC429ED" w14:textId="77777777" w:rsidR="00214C83" w:rsidRPr="00CC7F21" w:rsidRDefault="00214C83" w:rsidP="00370F43">
      <w:pPr>
        <w:jc w:val="both"/>
        <w:rPr>
          <w:rFonts w:ascii="Verdana" w:hAnsi="Verdana"/>
          <w:smallCaps/>
          <w:sz w:val="20"/>
          <w:lang w:val="nl-BE"/>
        </w:rPr>
      </w:pPr>
      <w:r w:rsidRPr="009E1210">
        <w:rPr>
          <w:rFonts w:ascii="Verdana" w:hAnsi="Verdana"/>
          <w:smallCaps/>
          <w:sz w:val="20"/>
          <w:lang w:val="nl-BE"/>
        </w:rPr>
        <w:t xml:space="preserve">minister-president van de </w:t>
      </w:r>
      <w:proofErr w:type="spellStart"/>
      <w:r w:rsidRPr="009E1210">
        <w:rPr>
          <w:rFonts w:ascii="Verdana" w:hAnsi="Verdana"/>
          <w:smallCaps/>
          <w:sz w:val="20"/>
          <w:lang w:val="nl-BE"/>
        </w:rPr>
        <w:t>vlaamse</w:t>
      </w:r>
      <w:proofErr w:type="spellEnd"/>
      <w:r w:rsidRPr="009E1210">
        <w:rPr>
          <w:rFonts w:ascii="Verdana" w:hAnsi="Verdana"/>
          <w:smallCaps/>
          <w:sz w:val="20"/>
          <w:lang w:val="nl-BE"/>
        </w:rPr>
        <w:t xml:space="preserve"> regering, </w:t>
      </w:r>
      <w:proofErr w:type="spellStart"/>
      <w:r w:rsidRPr="009E1210">
        <w:rPr>
          <w:rFonts w:ascii="Verdana" w:hAnsi="Verdana"/>
          <w:smallCaps/>
          <w:sz w:val="20"/>
          <w:lang w:val="nl-BE"/>
        </w:rPr>
        <w:t>vlaams</w:t>
      </w:r>
      <w:proofErr w:type="spellEnd"/>
      <w:r w:rsidRPr="009E1210">
        <w:rPr>
          <w:rFonts w:ascii="Verdana" w:hAnsi="Verdana"/>
          <w:smallCaps/>
          <w:sz w:val="20"/>
          <w:lang w:val="nl-BE"/>
        </w:rPr>
        <w:t xml:space="preserve"> minister van buitenlandse zaken, cultuur, digitalisering en facilitair management</w:t>
      </w:r>
    </w:p>
    <w:p w14:paraId="1F893561" w14:textId="77777777" w:rsidR="00214C83" w:rsidRPr="00CC7F21" w:rsidRDefault="00214C83" w:rsidP="00370F43">
      <w:pPr>
        <w:pStyle w:val="StandaardSV"/>
        <w:pBdr>
          <w:bottom w:val="single" w:sz="4" w:space="1" w:color="auto"/>
        </w:pBdr>
        <w:rPr>
          <w:rFonts w:ascii="Verdana" w:hAnsi="Verdana"/>
          <w:sz w:val="20"/>
          <w:lang w:val="nl-BE"/>
        </w:rPr>
      </w:pPr>
    </w:p>
    <w:p w14:paraId="6DD17A44" w14:textId="77777777" w:rsidR="00214C83" w:rsidRPr="00CC7F21" w:rsidRDefault="00214C83" w:rsidP="00370F43">
      <w:pPr>
        <w:jc w:val="both"/>
        <w:rPr>
          <w:rFonts w:ascii="Verdana" w:hAnsi="Verdana"/>
          <w:sz w:val="20"/>
        </w:rPr>
      </w:pPr>
    </w:p>
    <w:p w14:paraId="184C6D1B" w14:textId="77777777" w:rsidR="00214C83" w:rsidRPr="009E1210" w:rsidRDefault="00214C83" w:rsidP="00370F43">
      <w:pPr>
        <w:jc w:val="both"/>
        <w:outlineLvl w:val="0"/>
        <w:rPr>
          <w:rFonts w:ascii="Verdana" w:hAnsi="Verdana"/>
          <w:sz w:val="20"/>
          <w:lang w:val="nl-BE"/>
        </w:rPr>
      </w:pPr>
      <w:r>
        <w:rPr>
          <w:rFonts w:ascii="Verdana" w:hAnsi="Verdana"/>
          <w:b/>
          <w:smallCaps/>
          <w:sz w:val="20"/>
          <w:lang w:val="nl-BE"/>
        </w:rPr>
        <w:t>antwoord</w:t>
      </w:r>
    </w:p>
    <w:p w14:paraId="47025596" w14:textId="77777777" w:rsidR="00214C83" w:rsidRPr="009E1210" w:rsidRDefault="00214C83" w:rsidP="00370F43">
      <w:pPr>
        <w:jc w:val="both"/>
        <w:outlineLvl w:val="0"/>
        <w:rPr>
          <w:rFonts w:ascii="Verdana" w:hAnsi="Verdana"/>
          <w:sz w:val="20"/>
        </w:rPr>
      </w:pPr>
      <w:r w:rsidRPr="009E1210">
        <w:rPr>
          <w:rFonts w:ascii="Verdana" w:hAnsi="Verdana"/>
          <w:sz w:val="20"/>
        </w:rPr>
        <w:t xml:space="preserve">op vraag nr. </w:t>
      </w:r>
      <w:r>
        <w:rPr>
          <w:rFonts w:ascii="Verdana" w:hAnsi="Verdana"/>
          <w:sz w:val="20"/>
        </w:rPr>
        <w:t>100</w:t>
      </w:r>
      <w:r w:rsidRPr="009E1210">
        <w:rPr>
          <w:rFonts w:ascii="Verdana" w:hAnsi="Verdana"/>
          <w:sz w:val="20"/>
        </w:rPr>
        <w:t xml:space="preserve"> van </w:t>
      </w:r>
      <w:r>
        <w:rPr>
          <w:rFonts w:ascii="Verdana" w:hAnsi="Verdana"/>
          <w:sz w:val="20"/>
        </w:rPr>
        <w:t>15 december 2022</w:t>
      </w:r>
    </w:p>
    <w:p w14:paraId="3F9A3ED9" w14:textId="77777777" w:rsidR="00214C83" w:rsidRPr="00CC7F21" w:rsidRDefault="00214C83" w:rsidP="00370F43">
      <w:pPr>
        <w:jc w:val="both"/>
        <w:rPr>
          <w:rFonts w:ascii="Verdana" w:hAnsi="Verdana"/>
          <w:b/>
          <w:sz w:val="20"/>
        </w:rPr>
      </w:pPr>
      <w:r w:rsidRPr="009E1210">
        <w:rPr>
          <w:rFonts w:ascii="Verdana" w:hAnsi="Verdana"/>
          <w:sz w:val="20"/>
        </w:rPr>
        <w:t xml:space="preserve">van </w:t>
      </w:r>
      <w:proofErr w:type="spellStart"/>
      <w:r>
        <w:rPr>
          <w:rFonts w:ascii="Verdana" w:hAnsi="Verdana"/>
          <w:b/>
          <w:smallCaps/>
          <w:sz w:val="20"/>
        </w:rPr>
        <w:t>filip</w:t>
      </w:r>
      <w:proofErr w:type="spellEnd"/>
      <w:r>
        <w:rPr>
          <w:rFonts w:ascii="Verdana" w:hAnsi="Verdana"/>
          <w:b/>
          <w:smallCaps/>
          <w:sz w:val="20"/>
        </w:rPr>
        <w:t xml:space="preserve"> </w:t>
      </w:r>
      <w:proofErr w:type="spellStart"/>
      <w:r>
        <w:rPr>
          <w:rFonts w:ascii="Verdana" w:hAnsi="Verdana"/>
          <w:b/>
          <w:smallCaps/>
          <w:sz w:val="20"/>
        </w:rPr>
        <w:t>brusselmans</w:t>
      </w:r>
      <w:proofErr w:type="spellEnd"/>
    </w:p>
    <w:p w14:paraId="1B69DF21" w14:textId="77777777" w:rsidR="00214C83" w:rsidRPr="00CC7F21" w:rsidRDefault="00214C83" w:rsidP="00370F43">
      <w:pPr>
        <w:pBdr>
          <w:bottom w:val="single" w:sz="4" w:space="1" w:color="auto"/>
        </w:pBdr>
        <w:jc w:val="both"/>
        <w:rPr>
          <w:rFonts w:ascii="Verdana" w:hAnsi="Verdana"/>
          <w:sz w:val="20"/>
        </w:rPr>
      </w:pPr>
    </w:p>
    <w:p w14:paraId="47A1B5BA" w14:textId="77777777" w:rsidR="00214C83" w:rsidRPr="00CC7F21" w:rsidRDefault="00214C83" w:rsidP="00370F43">
      <w:pPr>
        <w:pStyle w:val="StandaardSV"/>
        <w:rPr>
          <w:rFonts w:ascii="Verdana" w:hAnsi="Verdana"/>
          <w:sz w:val="20"/>
        </w:rPr>
      </w:pPr>
    </w:p>
    <w:p w14:paraId="21C57804" w14:textId="77777777" w:rsidR="00214C83" w:rsidRPr="00CC7F21" w:rsidRDefault="00214C83" w:rsidP="00370F43">
      <w:pPr>
        <w:pStyle w:val="StandaardSV"/>
        <w:rPr>
          <w:rFonts w:ascii="Verdana" w:hAnsi="Verdana"/>
          <w:sz w:val="20"/>
        </w:rPr>
      </w:pPr>
    </w:p>
    <w:p w14:paraId="3D1E694A" w14:textId="77777777" w:rsidR="00EA6314" w:rsidRPr="00EA6314" w:rsidRDefault="00EA6314" w:rsidP="00370F43">
      <w:pPr>
        <w:numPr>
          <w:ilvl w:val="0"/>
          <w:numId w:val="46"/>
        </w:numPr>
        <w:ind w:left="284" w:hanging="284"/>
        <w:contextualSpacing/>
        <w:jc w:val="both"/>
        <w:rPr>
          <w:rFonts w:ascii="Verdana" w:eastAsia="Verdana" w:hAnsi="Verdana" w:cs="Verdana"/>
          <w:sz w:val="20"/>
          <w:lang w:eastAsia="en-US"/>
        </w:rPr>
      </w:pPr>
      <w:r w:rsidRPr="00EA6314">
        <w:rPr>
          <w:rFonts w:ascii="Verdana" w:eastAsia="Verdana" w:hAnsi="Verdana" w:cs="Verdana"/>
          <w:sz w:val="20"/>
          <w:lang w:eastAsia="en-US"/>
        </w:rPr>
        <w:t xml:space="preserve">Voor de subsidies die tijdens de coronacrisis zijn verstrekt aan de sector is er een onderscheid te maken  tussen subsidies verstrekt vanuit het Noodfonds enerzijds, bijvoorbeeld de </w:t>
      </w:r>
      <w:proofErr w:type="spellStart"/>
      <w:r w:rsidRPr="00EA6314">
        <w:rPr>
          <w:rFonts w:ascii="Verdana" w:eastAsia="Verdana" w:hAnsi="Verdana" w:cs="Verdana"/>
          <w:sz w:val="20"/>
          <w:lang w:eastAsia="en-US"/>
        </w:rPr>
        <w:t>Cultuurcoronapremie</w:t>
      </w:r>
      <w:proofErr w:type="spellEnd"/>
      <w:r w:rsidRPr="00EA6314">
        <w:rPr>
          <w:rFonts w:ascii="Verdana" w:eastAsia="Verdana" w:hAnsi="Verdana" w:cs="Verdana"/>
          <w:sz w:val="20"/>
          <w:lang w:eastAsia="en-US"/>
        </w:rPr>
        <w:t xml:space="preserve"> en de Culturele Activiteitenpremie, en de Taskforce Cultuur anderzijds, waar bijvoorbeeld het Innovatiemechanisme deel  van uitmaakte.</w:t>
      </w:r>
    </w:p>
    <w:p w14:paraId="52BA004B" w14:textId="77777777" w:rsidR="00EA6314" w:rsidRPr="00EA6314" w:rsidRDefault="00EA6314" w:rsidP="00370F43">
      <w:pPr>
        <w:ind w:left="142"/>
        <w:contextualSpacing/>
        <w:jc w:val="both"/>
        <w:rPr>
          <w:rFonts w:ascii="Verdana" w:eastAsia="Verdana" w:hAnsi="Verdana" w:cs="Verdana"/>
          <w:sz w:val="20"/>
          <w:lang w:eastAsia="en-US"/>
        </w:rPr>
      </w:pPr>
    </w:p>
    <w:p w14:paraId="5AB20AC8" w14:textId="77777777" w:rsidR="00EA6314" w:rsidRDefault="00EA6314" w:rsidP="00370F43">
      <w:pPr>
        <w:pStyle w:val="Lijstalinea"/>
        <w:numPr>
          <w:ilvl w:val="0"/>
          <w:numId w:val="47"/>
        </w:numPr>
        <w:spacing w:after="0" w:line="240" w:lineRule="auto"/>
        <w:jc w:val="both"/>
        <w:rPr>
          <w:rFonts w:ascii="Verdana" w:eastAsia="Verdana" w:hAnsi="Verdana" w:cs="Verdana"/>
          <w:color w:val="000000"/>
          <w:sz w:val="20"/>
        </w:rPr>
      </w:pPr>
      <w:r w:rsidRPr="00EA6314">
        <w:rPr>
          <w:rFonts w:ascii="Verdana" w:eastAsia="Verdana" w:hAnsi="Verdana" w:cs="Verdana"/>
          <w:sz w:val="20"/>
        </w:rPr>
        <w:t xml:space="preserve">In het kader van de </w:t>
      </w:r>
      <w:proofErr w:type="spellStart"/>
      <w:r w:rsidRPr="00EA6314">
        <w:rPr>
          <w:rFonts w:ascii="Verdana" w:eastAsia="Verdana" w:hAnsi="Verdana" w:cs="Verdana"/>
          <w:color w:val="000000"/>
          <w:sz w:val="20"/>
        </w:rPr>
        <w:t>Cultuurcoronapremie</w:t>
      </w:r>
      <w:proofErr w:type="spellEnd"/>
      <w:r w:rsidRPr="00EA6314">
        <w:rPr>
          <w:rFonts w:ascii="Verdana" w:eastAsia="Verdana" w:hAnsi="Verdana" w:cs="Verdana"/>
          <w:color w:val="000000"/>
          <w:sz w:val="20"/>
        </w:rPr>
        <w:t xml:space="preserve"> werden er 2091 premies van 1.500 euro toegekend aan individuele cultuurwerkers. In totaal gaat dit dus over 3.136.500 euro. </w:t>
      </w:r>
    </w:p>
    <w:p w14:paraId="1A63D989" w14:textId="77777777" w:rsidR="00EA6314" w:rsidRDefault="00EA6314" w:rsidP="00370F43">
      <w:pPr>
        <w:pStyle w:val="Lijstalinea"/>
        <w:numPr>
          <w:ilvl w:val="0"/>
          <w:numId w:val="47"/>
        </w:numPr>
        <w:spacing w:after="0" w:line="240" w:lineRule="auto"/>
        <w:jc w:val="both"/>
        <w:rPr>
          <w:rFonts w:ascii="Verdana" w:eastAsia="Verdana" w:hAnsi="Verdana" w:cs="Verdana"/>
          <w:color w:val="000000"/>
          <w:sz w:val="20"/>
        </w:rPr>
      </w:pPr>
      <w:r w:rsidRPr="00EA6314">
        <w:rPr>
          <w:rFonts w:ascii="Verdana" w:eastAsia="Verdana" w:hAnsi="Verdana" w:cs="Verdana"/>
          <w:color w:val="000000"/>
          <w:sz w:val="20"/>
        </w:rPr>
        <w:t xml:space="preserve">Wat de Culturele Activiteitenpremie betreft gaat het over 5846 dossiers die werden uitbetaald voor een slotsom van 29.700.000 euro verdeeld over bedragen van 2.000 tot 20.000 euro. Voor verder detail verwijs ik naar mijn antwoord op de Schriftelijke Vraag 133 van 11 januari 2021. </w:t>
      </w:r>
    </w:p>
    <w:p w14:paraId="39019639" w14:textId="432D1E52" w:rsidR="00EA6314" w:rsidRDefault="00EA6314" w:rsidP="00370F43">
      <w:pPr>
        <w:pStyle w:val="Lijstalinea"/>
        <w:numPr>
          <w:ilvl w:val="0"/>
          <w:numId w:val="47"/>
        </w:numPr>
        <w:spacing w:after="0" w:line="240" w:lineRule="auto"/>
        <w:jc w:val="both"/>
        <w:rPr>
          <w:rFonts w:ascii="Verdana" w:eastAsia="Verdana" w:hAnsi="Verdana" w:cs="Verdana"/>
          <w:color w:val="000000"/>
          <w:sz w:val="20"/>
        </w:rPr>
      </w:pPr>
      <w:r w:rsidRPr="00EA6314">
        <w:rPr>
          <w:rFonts w:ascii="Verdana" w:eastAsia="Verdana" w:hAnsi="Verdana" w:cs="Verdana"/>
          <w:color w:val="000000"/>
          <w:sz w:val="20"/>
        </w:rPr>
        <w:t>Wat het Innovatiemechanisme betreft, hebben 1219 cultuurspelers een aanvraag ingediend waarvan er 1089 werden uitbetaald, goed voor 4.999.950 euro verdeeld over een subsidie van ofwel 2.750 of 7.500 euro.</w:t>
      </w:r>
    </w:p>
    <w:p w14:paraId="34F1128C" w14:textId="77777777" w:rsidR="00370F43" w:rsidRPr="00EA6314" w:rsidRDefault="00370F43" w:rsidP="00370F43">
      <w:pPr>
        <w:pStyle w:val="Lijstalinea"/>
        <w:spacing w:after="0" w:line="240" w:lineRule="auto"/>
        <w:ind w:left="862"/>
        <w:jc w:val="both"/>
        <w:rPr>
          <w:rFonts w:ascii="Verdana" w:eastAsia="Verdana" w:hAnsi="Verdana" w:cs="Verdana"/>
          <w:color w:val="000000"/>
          <w:sz w:val="20"/>
        </w:rPr>
      </w:pPr>
    </w:p>
    <w:p w14:paraId="76152E07" w14:textId="77777777" w:rsidR="00EA6314" w:rsidRPr="00EA6314" w:rsidRDefault="00EA6314" w:rsidP="00370F43">
      <w:pPr>
        <w:numPr>
          <w:ilvl w:val="0"/>
          <w:numId w:val="46"/>
        </w:numPr>
        <w:ind w:left="284" w:hanging="284"/>
        <w:contextualSpacing/>
        <w:jc w:val="both"/>
        <w:rPr>
          <w:rFonts w:ascii="Verdana" w:eastAsia="Verdana" w:hAnsi="Verdana" w:cs="Verdana"/>
          <w:sz w:val="20"/>
          <w:lang w:val="nl-BE" w:eastAsia="en-US"/>
        </w:rPr>
      </w:pPr>
      <w:r w:rsidRPr="00EA6314">
        <w:rPr>
          <w:rFonts w:ascii="Verdana" w:eastAsia="Verdana" w:hAnsi="Verdana" w:cs="Verdana"/>
          <w:sz w:val="20"/>
          <w:lang w:eastAsia="en-US"/>
        </w:rPr>
        <w:t xml:space="preserve">De toelichting over spookfirma’s waar u naar verwijst, is een onderzoek dat Graydon zelfstandig heeft uitgevoerd en betrof een onderzoek naar de financieel-economische impact van corona tot einde 2021. Een spookbedrijf, zoals Graydon hierin aangeeft, is in deze context een bedrijf met een heel lage activiteitsgraad. Dit heeft geen directe link met de aanvragen binnen het Noodfonds of de Taskforce Cultuur en dient enkel om de populatie van het onderzoek beter te kunnen kaderen. Deze studie kreeg via een recente opdracht een uitbreiding tot begin 2022, wanneer alle laatste maatregelen werden opgeheven. </w:t>
      </w:r>
      <w:r w:rsidRPr="00EA6314">
        <w:rPr>
          <w:rFonts w:ascii="Verdana" w:eastAsia="Verdana" w:hAnsi="Verdana" w:cs="Verdana"/>
          <w:sz w:val="20"/>
          <w:lang w:val="nl-BE" w:eastAsia="en-US"/>
        </w:rPr>
        <w:t>Het doel van de studie zoals gevraagd door het departement CJM aan Graydon was om de impact te meten van de tijdelijke sluiting/beperking in publiek van de sector als gevolg van de  COVID-19 pandemie en niet de screening van eventuele subsidiestromen naar spookbedrijven. De resultaten van de vervolgstudie worden opgeleverd in het najaar van 2023.</w:t>
      </w:r>
    </w:p>
    <w:p w14:paraId="2593CB24" w14:textId="77777777" w:rsidR="00EA6314" w:rsidRPr="00EA6314" w:rsidRDefault="00EA6314" w:rsidP="00370F43">
      <w:pPr>
        <w:ind w:left="142"/>
        <w:contextualSpacing/>
        <w:jc w:val="both"/>
        <w:rPr>
          <w:rFonts w:ascii="Verdana" w:eastAsia="Verdana" w:hAnsi="Verdana" w:cs="Verdana"/>
          <w:sz w:val="20"/>
          <w:lang w:val="nl-BE" w:eastAsia="en-US"/>
        </w:rPr>
      </w:pPr>
    </w:p>
    <w:p w14:paraId="594BC1EE" w14:textId="2BB4DAEA" w:rsidR="00EA6314" w:rsidRPr="00EA6314" w:rsidRDefault="00370F43" w:rsidP="00370F43">
      <w:pPr>
        <w:ind w:left="426" w:hanging="426"/>
        <w:jc w:val="both"/>
        <w:rPr>
          <w:rFonts w:ascii="Verdana" w:eastAsia="Verdana" w:hAnsi="Verdana" w:cs="Verdana"/>
          <w:sz w:val="20"/>
          <w:lang w:val="nl-BE" w:eastAsia="en-US"/>
        </w:rPr>
      </w:pPr>
      <w:r>
        <w:rPr>
          <w:rFonts w:ascii="Verdana" w:eastAsia="Verdana" w:hAnsi="Verdana" w:cs="Verdana"/>
          <w:sz w:val="20"/>
          <w:lang w:val="nl-BE" w:eastAsia="en-US"/>
        </w:rPr>
        <w:t>3-5.</w:t>
      </w:r>
      <w:r>
        <w:rPr>
          <w:rFonts w:ascii="Verdana" w:eastAsia="Verdana" w:hAnsi="Verdana" w:cs="Verdana"/>
          <w:sz w:val="20"/>
          <w:lang w:val="nl-BE" w:eastAsia="en-US"/>
        </w:rPr>
        <w:tab/>
      </w:r>
      <w:r w:rsidR="00EA6314" w:rsidRPr="00EA6314">
        <w:rPr>
          <w:rFonts w:ascii="Verdana" w:eastAsia="Verdana" w:hAnsi="Verdana" w:cs="Verdana"/>
          <w:sz w:val="20"/>
          <w:lang w:val="nl-BE" w:eastAsia="en-US"/>
        </w:rPr>
        <w:t xml:space="preserve">In het kader van de coronamaatregelen werden drie ad hoc subsidielijnen uitgerold, namelijk de </w:t>
      </w:r>
      <w:proofErr w:type="spellStart"/>
      <w:r w:rsidR="00EA6314" w:rsidRPr="00EA6314">
        <w:rPr>
          <w:rFonts w:ascii="Verdana" w:eastAsia="Verdana" w:hAnsi="Verdana" w:cs="Verdana"/>
          <w:sz w:val="20"/>
          <w:lang w:val="nl-BE" w:eastAsia="en-US"/>
        </w:rPr>
        <w:t>Cultuurcoronapremie</w:t>
      </w:r>
      <w:proofErr w:type="spellEnd"/>
      <w:r w:rsidR="00EA6314" w:rsidRPr="00EA6314">
        <w:rPr>
          <w:rFonts w:ascii="Verdana" w:eastAsia="Verdana" w:hAnsi="Verdana" w:cs="Verdana"/>
          <w:sz w:val="20"/>
          <w:lang w:val="nl-BE" w:eastAsia="en-US"/>
        </w:rPr>
        <w:t xml:space="preserve">, de Culturele Activiteitenpremie en het Innovatiemechanisme. Deze subsidielijnen werden instrumenteel uitgevoerd en post factum aan de hand van </w:t>
      </w:r>
      <w:proofErr w:type="spellStart"/>
      <w:r w:rsidR="00EA6314" w:rsidRPr="00EA6314">
        <w:rPr>
          <w:rFonts w:ascii="Verdana" w:eastAsia="Verdana" w:hAnsi="Verdana" w:cs="Verdana"/>
          <w:sz w:val="20"/>
          <w:lang w:val="nl-BE" w:eastAsia="en-US"/>
        </w:rPr>
        <w:t>stavingsstukken</w:t>
      </w:r>
      <w:proofErr w:type="spellEnd"/>
      <w:r w:rsidR="00EA6314" w:rsidRPr="00EA6314">
        <w:rPr>
          <w:rFonts w:ascii="Verdana" w:eastAsia="Verdana" w:hAnsi="Verdana" w:cs="Verdana"/>
          <w:sz w:val="20"/>
          <w:lang w:val="nl-BE" w:eastAsia="en-US"/>
        </w:rPr>
        <w:t xml:space="preserve"> gecontroleerd. Gezien de vrij brede focus van deze ondersteuning en het volatiele karakter leidde dat wel tot een aanzienlijk aantal terugvorderingen. De terugvorderingsprocedures van de subsidiestromen lopen nog. Tot op heden werd er nog geen vervolging voor fraude ingesteld.</w:t>
      </w:r>
    </w:p>
    <w:p w14:paraId="3DCAF1D1" w14:textId="77777777" w:rsidR="00DD500A" w:rsidRPr="00EA6314" w:rsidRDefault="00DD500A" w:rsidP="00370F43">
      <w:pPr>
        <w:pStyle w:val="StandaardSV"/>
        <w:rPr>
          <w:lang w:val="nl-BE"/>
        </w:rPr>
      </w:pPr>
    </w:p>
    <w:sectPr w:rsidR="00DD500A" w:rsidRPr="00EA6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73E"/>
    <w:multiLevelType w:val="hybridMultilevel"/>
    <w:tmpl w:val="E63E858E"/>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 w15:restartNumberingAfterBreak="0">
    <w:nsid w:val="23DF27F1"/>
    <w:multiLevelType w:val="hybridMultilevel"/>
    <w:tmpl w:val="DC180D56"/>
    <w:lvl w:ilvl="0" w:tplc="10505062">
      <w:start w:val="1"/>
      <w:numFmt w:val="decimal"/>
      <w:lvlText w:val="%1."/>
      <w:lvlJc w:val="left"/>
      <w:pPr>
        <w:ind w:left="720" w:hanging="360"/>
      </w:pPr>
    </w:lvl>
    <w:lvl w:ilvl="1" w:tplc="1E6ED808">
      <w:start w:val="1"/>
      <w:numFmt w:val="lowerLetter"/>
      <w:lvlText w:val="%2."/>
      <w:lvlJc w:val="left"/>
      <w:pPr>
        <w:ind w:left="1440" w:hanging="360"/>
      </w:pPr>
    </w:lvl>
    <w:lvl w:ilvl="2" w:tplc="58B22ED4">
      <w:start w:val="1"/>
      <w:numFmt w:val="lowerRoman"/>
      <w:lvlText w:val="%3."/>
      <w:lvlJc w:val="right"/>
      <w:pPr>
        <w:ind w:left="2160" w:hanging="180"/>
      </w:pPr>
    </w:lvl>
    <w:lvl w:ilvl="3" w:tplc="C24A01D2">
      <w:start w:val="1"/>
      <w:numFmt w:val="decimal"/>
      <w:lvlText w:val="%4."/>
      <w:lvlJc w:val="left"/>
      <w:pPr>
        <w:ind w:left="2880" w:hanging="360"/>
      </w:pPr>
    </w:lvl>
    <w:lvl w:ilvl="4" w:tplc="2C1ED022">
      <w:start w:val="1"/>
      <w:numFmt w:val="lowerLetter"/>
      <w:lvlText w:val="%5."/>
      <w:lvlJc w:val="left"/>
      <w:pPr>
        <w:ind w:left="3600" w:hanging="360"/>
      </w:pPr>
    </w:lvl>
    <w:lvl w:ilvl="5" w:tplc="457C28C2">
      <w:start w:val="1"/>
      <w:numFmt w:val="lowerRoman"/>
      <w:lvlText w:val="%6."/>
      <w:lvlJc w:val="right"/>
      <w:pPr>
        <w:ind w:left="4320" w:hanging="180"/>
      </w:pPr>
    </w:lvl>
    <w:lvl w:ilvl="6" w:tplc="28D84DD6">
      <w:start w:val="1"/>
      <w:numFmt w:val="decimal"/>
      <w:lvlText w:val="%7."/>
      <w:lvlJc w:val="left"/>
      <w:pPr>
        <w:ind w:left="5040" w:hanging="360"/>
      </w:pPr>
    </w:lvl>
    <w:lvl w:ilvl="7" w:tplc="64184E6C">
      <w:start w:val="1"/>
      <w:numFmt w:val="lowerLetter"/>
      <w:lvlText w:val="%8."/>
      <w:lvlJc w:val="left"/>
      <w:pPr>
        <w:ind w:left="5760" w:hanging="360"/>
      </w:pPr>
    </w:lvl>
    <w:lvl w:ilvl="8" w:tplc="0388EE7A">
      <w:start w:val="1"/>
      <w:numFmt w:val="lowerRoman"/>
      <w:lvlText w:val="%9."/>
      <w:lvlJc w:val="right"/>
      <w:pPr>
        <w:ind w:left="6480" w:hanging="180"/>
      </w:pPr>
    </w:lvl>
  </w:abstractNum>
  <w:abstractNum w:abstractNumId="2"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1267813665">
    <w:abstractNumId w:val="2"/>
  </w:num>
  <w:num w:numId="2" w16cid:durableId="878513136">
    <w:abstractNumId w:val="2"/>
  </w:num>
  <w:num w:numId="3" w16cid:durableId="1160121700">
    <w:abstractNumId w:val="2"/>
  </w:num>
  <w:num w:numId="4" w16cid:durableId="1851991450">
    <w:abstractNumId w:val="2"/>
  </w:num>
  <w:num w:numId="5" w16cid:durableId="618292998">
    <w:abstractNumId w:val="2"/>
  </w:num>
  <w:num w:numId="6" w16cid:durableId="859582477">
    <w:abstractNumId w:val="2"/>
  </w:num>
  <w:num w:numId="7" w16cid:durableId="1861358635">
    <w:abstractNumId w:val="2"/>
  </w:num>
  <w:num w:numId="8" w16cid:durableId="1585872005">
    <w:abstractNumId w:val="2"/>
  </w:num>
  <w:num w:numId="9" w16cid:durableId="567493359">
    <w:abstractNumId w:val="2"/>
  </w:num>
  <w:num w:numId="10" w16cid:durableId="68187972">
    <w:abstractNumId w:val="2"/>
  </w:num>
  <w:num w:numId="11" w16cid:durableId="970356279">
    <w:abstractNumId w:val="2"/>
  </w:num>
  <w:num w:numId="12" w16cid:durableId="322396675">
    <w:abstractNumId w:val="2"/>
  </w:num>
  <w:num w:numId="13" w16cid:durableId="1119176911">
    <w:abstractNumId w:val="2"/>
  </w:num>
  <w:num w:numId="14" w16cid:durableId="87968426">
    <w:abstractNumId w:val="2"/>
  </w:num>
  <w:num w:numId="15" w16cid:durableId="16202476">
    <w:abstractNumId w:val="2"/>
  </w:num>
  <w:num w:numId="16" w16cid:durableId="1736929460">
    <w:abstractNumId w:val="2"/>
  </w:num>
  <w:num w:numId="17" w16cid:durableId="1604654229">
    <w:abstractNumId w:val="2"/>
  </w:num>
  <w:num w:numId="18" w16cid:durableId="1226407435">
    <w:abstractNumId w:val="2"/>
  </w:num>
  <w:num w:numId="19" w16cid:durableId="131288985">
    <w:abstractNumId w:val="2"/>
  </w:num>
  <w:num w:numId="20" w16cid:durableId="675304718">
    <w:abstractNumId w:val="2"/>
  </w:num>
  <w:num w:numId="21" w16cid:durableId="2075199577">
    <w:abstractNumId w:val="2"/>
  </w:num>
  <w:num w:numId="22" w16cid:durableId="1015308652">
    <w:abstractNumId w:val="2"/>
  </w:num>
  <w:num w:numId="23" w16cid:durableId="913664649">
    <w:abstractNumId w:val="2"/>
  </w:num>
  <w:num w:numId="24" w16cid:durableId="1042484754">
    <w:abstractNumId w:val="2"/>
  </w:num>
  <w:num w:numId="25" w16cid:durableId="828669651">
    <w:abstractNumId w:val="2"/>
  </w:num>
  <w:num w:numId="26" w16cid:durableId="715550317">
    <w:abstractNumId w:val="2"/>
  </w:num>
  <w:num w:numId="27" w16cid:durableId="815492184">
    <w:abstractNumId w:val="2"/>
  </w:num>
  <w:num w:numId="28" w16cid:durableId="944077146">
    <w:abstractNumId w:val="2"/>
  </w:num>
  <w:num w:numId="29" w16cid:durableId="1316300471">
    <w:abstractNumId w:val="2"/>
  </w:num>
  <w:num w:numId="30" w16cid:durableId="1551763108">
    <w:abstractNumId w:val="2"/>
  </w:num>
  <w:num w:numId="31" w16cid:durableId="695078172">
    <w:abstractNumId w:val="2"/>
  </w:num>
  <w:num w:numId="32" w16cid:durableId="1422486340">
    <w:abstractNumId w:val="2"/>
  </w:num>
  <w:num w:numId="33" w16cid:durableId="662510505">
    <w:abstractNumId w:val="2"/>
  </w:num>
  <w:num w:numId="34" w16cid:durableId="819931876">
    <w:abstractNumId w:val="2"/>
  </w:num>
  <w:num w:numId="35" w16cid:durableId="2099249972">
    <w:abstractNumId w:val="2"/>
  </w:num>
  <w:num w:numId="36" w16cid:durableId="1281255545">
    <w:abstractNumId w:val="2"/>
  </w:num>
  <w:num w:numId="37" w16cid:durableId="447700165">
    <w:abstractNumId w:val="2"/>
  </w:num>
  <w:num w:numId="38" w16cid:durableId="763040906">
    <w:abstractNumId w:val="2"/>
  </w:num>
  <w:num w:numId="39" w16cid:durableId="368260362">
    <w:abstractNumId w:val="2"/>
  </w:num>
  <w:num w:numId="40" w16cid:durableId="1221093788">
    <w:abstractNumId w:val="2"/>
  </w:num>
  <w:num w:numId="41" w16cid:durableId="1853061297">
    <w:abstractNumId w:val="2"/>
  </w:num>
  <w:num w:numId="42" w16cid:durableId="653990023">
    <w:abstractNumId w:val="2"/>
  </w:num>
  <w:num w:numId="43" w16cid:durableId="2057468720">
    <w:abstractNumId w:val="2"/>
  </w:num>
  <w:num w:numId="44" w16cid:durableId="1261524484">
    <w:abstractNumId w:val="2"/>
  </w:num>
  <w:num w:numId="45" w16cid:durableId="67770482">
    <w:abstractNumId w:val="2"/>
  </w:num>
  <w:num w:numId="46" w16cid:durableId="518860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55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83"/>
    <w:rsid w:val="00214C83"/>
    <w:rsid w:val="00370F43"/>
    <w:rsid w:val="0044462C"/>
    <w:rsid w:val="007C11F4"/>
    <w:rsid w:val="00821058"/>
    <w:rsid w:val="00B63EBD"/>
    <w:rsid w:val="00DD500A"/>
    <w:rsid w:val="00EA63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919D"/>
  <w15:docId w15:val="{4AD42439-75D2-49E0-B667-E0A29A86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3</cp:revision>
  <dcterms:created xsi:type="dcterms:W3CDTF">2014-07-01T11:03:00Z</dcterms:created>
  <dcterms:modified xsi:type="dcterms:W3CDTF">2023-01-24T11:06:00Z</dcterms:modified>
</cp:coreProperties>
</file>