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012D5" w14:textId="77777777" w:rsidR="000976E9" w:rsidRPr="00AE4255" w:rsidRDefault="00F50C3F" w:rsidP="00AE4255">
      <w:pPr>
        <w:pStyle w:val="A-NaamMinister"/>
        <w:jc w:val="both"/>
        <w:rPr>
          <w:rFonts w:ascii="Verdana" w:hAnsi="Verdana"/>
          <w:sz w:val="20"/>
          <w:szCs w:val="20"/>
        </w:rPr>
      </w:pPr>
      <w:proofErr w:type="spellStart"/>
      <w:r>
        <w:rPr>
          <w:rFonts w:ascii="Verdana" w:hAnsi="Verdana"/>
          <w:sz w:val="20"/>
          <w:szCs w:val="20"/>
        </w:rPr>
        <w:t>matthias</w:t>
      </w:r>
      <w:proofErr w:type="spellEnd"/>
      <w:r>
        <w:rPr>
          <w:rFonts w:ascii="Verdana" w:hAnsi="Verdana"/>
          <w:sz w:val="20"/>
          <w:szCs w:val="20"/>
        </w:rPr>
        <w:t xml:space="preserve"> </w:t>
      </w:r>
      <w:proofErr w:type="spellStart"/>
      <w:r>
        <w:rPr>
          <w:rFonts w:ascii="Verdana" w:hAnsi="Verdana"/>
          <w:sz w:val="20"/>
          <w:szCs w:val="20"/>
        </w:rPr>
        <w:t>diependaele</w:t>
      </w:r>
      <w:proofErr w:type="spellEnd"/>
    </w:p>
    <w:p w14:paraId="5E7F7C2C" w14:textId="77777777" w:rsidR="000976E9" w:rsidRPr="00AE4255" w:rsidRDefault="00AE4255" w:rsidP="00AE4255">
      <w:pPr>
        <w:pStyle w:val="A-TitelMinister"/>
        <w:jc w:val="both"/>
        <w:rPr>
          <w:rFonts w:ascii="Verdana" w:hAnsi="Verdana"/>
          <w:sz w:val="20"/>
          <w:szCs w:val="20"/>
        </w:rPr>
      </w:pPr>
      <w:proofErr w:type="spellStart"/>
      <w:r w:rsidRPr="00AE4255">
        <w:rPr>
          <w:rFonts w:ascii="Verdana" w:hAnsi="Verdana"/>
          <w:sz w:val="20"/>
          <w:szCs w:val="20"/>
        </w:rPr>
        <w:t>vlaams</w:t>
      </w:r>
      <w:proofErr w:type="spellEnd"/>
      <w:r w:rsidRPr="00AE4255">
        <w:rPr>
          <w:rFonts w:ascii="Verdana" w:hAnsi="Verdana"/>
          <w:sz w:val="20"/>
          <w:szCs w:val="20"/>
        </w:rPr>
        <w:t xml:space="preserve"> minister van </w:t>
      </w:r>
      <w:r w:rsidR="00F50C3F">
        <w:rPr>
          <w:rFonts w:ascii="Verdana" w:hAnsi="Verdana"/>
          <w:sz w:val="20"/>
          <w:szCs w:val="20"/>
        </w:rPr>
        <w:t>financiën en begroting, wonen en onroerend erfgoed</w:t>
      </w:r>
    </w:p>
    <w:p w14:paraId="5BCB9B7E" w14:textId="77777777" w:rsidR="000976E9" w:rsidRPr="00AE4255" w:rsidRDefault="000976E9" w:rsidP="00AE4255">
      <w:pPr>
        <w:jc w:val="both"/>
        <w:rPr>
          <w:rFonts w:ascii="Verdana" w:hAnsi="Verdana"/>
          <w:sz w:val="20"/>
          <w:szCs w:val="20"/>
        </w:rPr>
      </w:pPr>
    </w:p>
    <w:p w14:paraId="2D19261D" w14:textId="77777777" w:rsidR="000976E9" w:rsidRPr="00AE4255" w:rsidRDefault="000976E9" w:rsidP="00AE4255">
      <w:pPr>
        <w:pStyle w:val="A-Lijn"/>
        <w:jc w:val="both"/>
        <w:rPr>
          <w:rFonts w:ascii="Verdana" w:hAnsi="Verdana"/>
          <w:sz w:val="20"/>
          <w:szCs w:val="20"/>
        </w:rPr>
      </w:pPr>
    </w:p>
    <w:p w14:paraId="38D7EB3F" w14:textId="77777777" w:rsidR="000976E9" w:rsidRPr="00AE4255" w:rsidRDefault="000976E9" w:rsidP="00AE4255">
      <w:pPr>
        <w:pStyle w:val="A-Type"/>
        <w:jc w:val="both"/>
        <w:rPr>
          <w:rFonts w:ascii="Verdana" w:hAnsi="Verdana"/>
          <w:sz w:val="20"/>
          <w:szCs w:val="20"/>
        </w:rPr>
        <w:sectPr w:rsidR="000976E9" w:rsidRPr="00AE4255">
          <w:pgSz w:w="11906" w:h="16838"/>
          <w:pgMar w:top="1417" w:right="1417" w:bottom="1417" w:left="1417" w:header="708" w:footer="708" w:gutter="0"/>
          <w:cols w:space="708"/>
          <w:docGrid w:linePitch="360"/>
        </w:sectPr>
      </w:pPr>
    </w:p>
    <w:p w14:paraId="4E689904" w14:textId="77777777" w:rsidR="00210C07" w:rsidRPr="00AE4255" w:rsidRDefault="000976E9" w:rsidP="00AE4255">
      <w:pPr>
        <w:pStyle w:val="A-Type"/>
        <w:jc w:val="both"/>
        <w:rPr>
          <w:rFonts w:ascii="Verdana" w:hAnsi="Verdana"/>
          <w:sz w:val="20"/>
          <w:szCs w:val="20"/>
        </w:rPr>
        <w:sectPr w:rsidR="00210C07" w:rsidRPr="00AE4255" w:rsidSect="000976E9">
          <w:type w:val="continuous"/>
          <w:pgSz w:w="11906" w:h="16838"/>
          <w:pgMar w:top="1417" w:right="1417" w:bottom="1417" w:left="1417" w:header="708" w:footer="708" w:gutter="0"/>
          <w:cols w:space="708"/>
          <w:formProt w:val="0"/>
          <w:docGrid w:linePitch="360"/>
        </w:sectPr>
      </w:pPr>
      <w:r w:rsidRPr="00AE4255">
        <w:rPr>
          <w:rFonts w:ascii="Verdana" w:hAnsi="Verdana"/>
          <w:sz w:val="20"/>
          <w:szCs w:val="20"/>
        </w:rPr>
        <w:t xml:space="preserve">antwoord </w:t>
      </w:r>
    </w:p>
    <w:p w14:paraId="1DC31316" w14:textId="273C3AA3" w:rsidR="000976E9" w:rsidRPr="00301372" w:rsidRDefault="0057445D" w:rsidP="00AE4255">
      <w:pPr>
        <w:pStyle w:val="A-Type"/>
        <w:jc w:val="both"/>
        <w:rPr>
          <w:rFonts w:ascii="Verdana" w:hAnsi="Verdana"/>
          <w:b w:val="0"/>
          <w:smallCaps w:val="0"/>
          <w:sz w:val="20"/>
          <w:szCs w:val="20"/>
        </w:rPr>
      </w:pPr>
      <w:r>
        <w:rPr>
          <w:rFonts w:ascii="Verdana" w:hAnsi="Verdana"/>
          <w:b w:val="0"/>
          <w:smallCaps w:val="0"/>
          <w:sz w:val="20"/>
          <w:szCs w:val="20"/>
        </w:rPr>
        <w:t xml:space="preserve">op vraag nr. </w:t>
      </w:r>
      <w:r w:rsidR="00383C4E">
        <w:rPr>
          <w:rFonts w:ascii="Verdana" w:hAnsi="Verdana"/>
          <w:b w:val="0"/>
          <w:smallCaps w:val="0"/>
          <w:sz w:val="20"/>
          <w:szCs w:val="20"/>
        </w:rPr>
        <w:t xml:space="preserve">130 </w:t>
      </w:r>
      <w:r w:rsidR="000976E9" w:rsidRPr="00AE4255">
        <w:rPr>
          <w:rFonts w:ascii="Verdana" w:hAnsi="Verdana"/>
          <w:b w:val="0"/>
          <w:smallCaps w:val="0"/>
          <w:sz w:val="20"/>
          <w:szCs w:val="20"/>
        </w:rPr>
        <w:t>van</w:t>
      </w:r>
      <w:r w:rsidR="00FC79AC">
        <w:rPr>
          <w:rFonts w:ascii="Verdana" w:hAnsi="Verdana"/>
          <w:b w:val="0"/>
          <w:smallCaps w:val="0"/>
          <w:sz w:val="20"/>
          <w:szCs w:val="20"/>
        </w:rPr>
        <w:t xml:space="preserve"> </w:t>
      </w:r>
      <w:r w:rsidR="00383C4E">
        <w:rPr>
          <w:rFonts w:ascii="Verdana" w:hAnsi="Verdana"/>
          <w:b w:val="0"/>
          <w:smallCaps w:val="0"/>
          <w:sz w:val="20"/>
          <w:szCs w:val="20"/>
        </w:rPr>
        <w:t>13</w:t>
      </w:r>
      <w:r w:rsidR="00383C4E" w:rsidRPr="00AE4255">
        <w:rPr>
          <w:rFonts w:ascii="Verdana" w:hAnsi="Verdana"/>
          <w:b w:val="0"/>
          <w:sz w:val="20"/>
          <w:szCs w:val="20"/>
        </w:rPr>
        <w:t xml:space="preserve"> </w:t>
      </w:r>
      <w:sdt>
        <w:sdtPr>
          <w:rPr>
            <w:rFonts w:ascii="Verdana" w:hAnsi="Verdana"/>
            <w:b w:val="0"/>
            <w:smallCaps w:val="0"/>
            <w:sz w:val="20"/>
            <w:szCs w:val="20"/>
          </w:rPr>
          <w:alias w:val="(maand)"/>
          <w:tag w:val="(maand)"/>
          <w:id w:val="-1527716432"/>
          <w:placeholder>
            <w:docPart w:val="DefaultPlaceholder_1082065159"/>
          </w:placeholder>
          <w:dropDownList>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dropDownList>
        </w:sdtPr>
        <w:sdtContent>
          <w:r w:rsidR="0052633F">
            <w:rPr>
              <w:rFonts w:ascii="Verdana" w:hAnsi="Verdana"/>
              <w:b w:val="0"/>
              <w:smallCaps w:val="0"/>
              <w:sz w:val="20"/>
              <w:szCs w:val="20"/>
            </w:rPr>
            <w:t>januari</w:t>
          </w:r>
        </w:sdtContent>
      </w:sdt>
      <w:r w:rsidR="002346BF">
        <w:rPr>
          <w:rFonts w:ascii="Verdana" w:hAnsi="Verdana"/>
          <w:b w:val="0"/>
          <w:smallCaps w:val="0"/>
          <w:sz w:val="20"/>
          <w:szCs w:val="20"/>
        </w:rPr>
        <w:t xml:space="preserve"> </w:t>
      </w:r>
      <w:r w:rsidR="00096762">
        <w:rPr>
          <w:rFonts w:ascii="Verdana" w:hAnsi="Verdana"/>
          <w:b w:val="0"/>
          <w:smallCaps w:val="0"/>
          <w:sz w:val="20"/>
          <w:szCs w:val="20"/>
        </w:rPr>
        <w:t>202</w:t>
      </w:r>
      <w:r w:rsidR="00C80CF6">
        <w:rPr>
          <w:rFonts w:ascii="Verdana" w:hAnsi="Verdana"/>
          <w:b w:val="0"/>
          <w:smallCaps w:val="0"/>
          <w:sz w:val="20"/>
          <w:szCs w:val="20"/>
        </w:rPr>
        <w:t>3</w:t>
      </w:r>
    </w:p>
    <w:p w14:paraId="5FBFE44B" w14:textId="458B535F" w:rsidR="000976E9" w:rsidRPr="00AE4255" w:rsidRDefault="000976E9" w:rsidP="00532932">
      <w:pPr>
        <w:pStyle w:val="A-NaamMinister"/>
        <w:jc w:val="both"/>
        <w:rPr>
          <w:rFonts w:ascii="Verdana" w:hAnsi="Verdana"/>
          <w:sz w:val="20"/>
          <w:szCs w:val="20"/>
        </w:rPr>
      </w:pPr>
      <w:r w:rsidRPr="00532932">
        <w:rPr>
          <w:rFonts w:ascii="Verdana" w:hAnsi="Verdana"/>
          <w:b w:val="0"/>
          <w:smallCaps w:val="0"/>
          <w:sz w:val="20"/>
          <w:szCs w:val="20"/>
        </w:rPr>
        <w:t>van</w:t>
      </w:r>
      <w:r w:rsidRPr="00AE4255">
        <w:rPr>
          <w:rFonts w:ascii="Verdana" w:hAnsi="Verdana"/>
          <w:sz w:val="20"/>
          <w:szCs w:val="20"/>
        </w:rPr>
        <w:t xml:space="preserve"> </w:t>
      </w:r>
      <w:proofErr w:type="spellStart"/>
      <w:r w:rsidR="00383C4E">
        <w:rPr>
          <w:rFonts w:ascii="Verdana" w:hAnsi="Verdana"/>
          <w:sz w:val="20"/>
          <w:szCs w:val="20"/>
        </w:rPr>
        <w:t>carmen</w:t>
      </w:r>
      <w:proofErr w:type="spellEnd"/>
      <w:r w:rsidR="00383C4E">
        <w:rPr>
          <w:rFonts w:ascii="Verdana" w:hAnsi="Verdana"/>
          <w:sz w:val="20"/>
          <w:szCs w:val="20"/>
        </w:rPr>
        <w:t xml:space="preserve"> </w:t>
      </w:r>
      <w:proofErr w:type="spellStart"/>
      <w:r w:rsidR="00383C4E">
        <w:rPr>
          <w:rFonts w:ascii="Verdana" w:hAnsi="Verdana"/>
          <w:sz w:val="20"/>
          <w:szCs w:val="20"/>
        </w:rPr>
        <w:t>ryheul</w:t>
      </w:r>
      <w:proofErr w:type="spellEnd"/>
    </w:p>
    <w:p w14:paraId="5FA5FF04" w14:textId="77777777" w:rsidR="00326A58" w:rsidRPr="00AE4255" w:rsidRDefault="00326A58" w:rsidP="00AE4255">
      <w:pPr>
        <w:jc w:val="both"/>
        <w:rPr>
          <w:rFonts w:ascii="Verdana" w:hAnsi="Verdana"/>
          <w:sz w:val="20"/>
          <w:szCs w:val="20"/>
        </w:rPr>
      </w:pPr>
    </w:p>
    <w:p w14:paraId="7E351A43" w14:textId="77777777" w:rsidR="000976E9" w:rsidRPr="00AE4255" w:rsidRDefault="000976E9" w:rsidP="00AE4255">
      <w:pPr>
        <w:pStyle w:val="A-Lijn"/>
        <w:jc w:val="both"/>
        <w:rPr>
          <w:rFonts w:ascii="Verdana" w:hAnsi="Verdana"/>
          <w:sz w:val="20"/>
          <w:szCs w:val="20"/>
        </w:rPr>
      </w:pPr>
    </w:p>
    <w:p w14:paraId="0C81590B" w14:textId="77777777" w:rsidR="000976E9" w:rsidRPr="00AE4255" w:rsidRDefault="000976E9" w:rsidP="00AE4255">
      <w:pPr>
        <w:jc w:val="both"/>
        <w:rPr>
          <w:rFonts w:ascii="Verdana" w:hAnsi="Verdana"/>
          <w:sz w:val="20"/>
          <w:szCs w:val="20"/>
        </w:rPr>
        <w:sectPr w:rsidR="000976E9" w:rsidRPr="00AE4255" w:rsidSect="000976E9">
          <w:type w:val="continuous"/>
          <w:pgSz w:w="11906" w:h="16838"/>
          <w:pgMar w:top="1417" w:right="1417" w:bottom="1417" w:left="1417" w:header="708" w:footer="708" w:gutter="0"/>
          <w:cols w:space="708"/>
          <w:docGrid w:linePitch="360"/>
        </w:sectPr>
      </w:pPr>
    </w:p>
    <w:p w14:paraId="7C02C51F" w14:textId="5DB884B9" w:rsidR="008150DC" w:rsidRDefault="008150DC" w:rsidP="008150DC">
      <w:pPr>
        <w:jc w:val="both"/>
        <w:rPr>
          <w:rFonts w:ascii="Verdana" w:hAnsi="Verdana"/>
          <w:sz w:val="20"/>
          <w:szCs w:val="20"/>
        </w:rPr>
      </w:pPr>
    </w:p>
    <w:p w14:paraId="0AC8839A" w14:textId="4B4CE580" w:rsidR="00BF4173" w:rsidRDefault="00BF4173" w:rsidP="00BF4173">
      <w:pPr>
        <w:numPr>
          <w:ilvl w:val="0"/>
          <w:numId w:val="3"/>
        </w:numPr>
        <w:ind w:left="284" w:hanging="284"/>
        <w:jc w:val="both"/>
        <w:rPr>
          <w:rFonts w:ascii="Verdana" w:hAnsi="Verdana"/>
          <w:sz w:val="20"/>
          <w:szCs w:val="20"/>
        </w:rPr>
      </w:pPr>
      <w:r w:rsidRPr="00295E26">
        <w:rPr>
          <w:rFonts w:ascii="Verdana" w:hAnsi="Verdana"/>
          <w:sz w:val="20"/>
          <w:szCs w:val="20"/>
        </w:rPr>
        <w:t>Hieronder vindt u een overzicht van het te betalen totaalbedrag aan boetes voor overtredingen in 202</w:t>
      </w:r>
      <w:r>
        <w:rPr>
          <w:rFonts w:ascii="Verdana" w:hAnsi="Verdana"/>
          <w:sz w:val="20"/>
          <w:szCs w:val="20"/>
        </w:rPr>
        <w:t>2</w:t>
      </w:r>
      <w:r w:rsidRPr="00295E26">
        <w:rPr>
          <w:rFonts w:ascii="Verdana" w:hAnsi="Verdana"/>
          <w:sz w:val="20"/>
          <w:szCs w:val="20"/>
        </w:rPr>
        <w:t xml:space="preserve"> en het bedrag van de ontvangsten van die boetes. Deze tabel maakt een onderscheid tussen Belgische en buitenlandse nummerplaten en geeft ook het totaal van beiden weer. Dit is de stand van zaken op 1</w:t>
      </w:r>
      <w:r>
        <w:rPr>
          <w:rFonts w:ascii="Verdana" w:hAnsi="Verdana"/>
          <w:sz w:val="20"/>
          <w:szCs w:val="20"/>
        </w:rPr>
        <w:t>9</w:t>
      </w:r>
      <w:r w:rsidRPr="00295E26">
        <w:rPr>
          <w:rFonts w:ascii="Verdana" w:hAnsi="Verdana"/>
          <w:sz w:val="20"/>
          <w:szCs w:val="20"/>
        </w:rPr>
        <w:t xml:space="preserve"> januari 202</w:t>
      </w:r>
      <w:r>
        <w:rPr>
          <w:rFonts w:ascii="Verdana" w:hAnsi="Verdana"/>
          <w:sz w:val="20"/>
          <w:szCs w:val="20"/>
        </w:rPr>
        <w:t>3.</w:t>
      </w:r>
    </w:p>
    <w:p w14:paraId="0EA9967C" w14:textId="0D3D0704" w:rsidR="00BF4173" w:rsidRDefault="00BF4173" w:rsidP="00BF4173">
      <w:pPr>
        <w:ind w:left="284"/>
        <w:jc w:val="both"/>
        <w:rPr>
          <w:rFonts w:ascii="Verdana" w:hAnsi="Verdana"/>
          <w:sz w:val="20"/>
          <w:szCs w:val="20"/>
        </w:rPr>
      </w:pPr>
    </w:p>
    <w:p w14:paraId="14C7329C" w14:textId="77777777" w:rsidR="00BF4173" w:rsidRDefault="00BF4173" w:rsidP="00BF4173">
      <w:pPr>
        <w:ind w:left="284"/>
        <w:jc w:val="both"/>
        <w:rPr>
          <w:rFonts w:ascii="Verdana" w:hAnsi="Verdana"/>
          <w:sz w:val="20"/>
          <w:szCs w:val="20"/>
        </w:rPr>
      </w:pPr>
      <w:r w:rsidRPr="00295E26">
        <w:rPr>
          <w:rFonts w:ascii="Verdana" w:hAnsi="Verdana"/>
          <w:sz w:val="20"/>
          <w:szCs w:val="20"/>
        </w:rPr>
        <w:t>Voor de boetes die minder dan twee maanden geleden werden uitgeschreven is de betaaltermijn uiteraard nog niet verstreken. Voor niet-betaalde boetes kan ook de verdere invorderingsprocedure nog lopen. Men dient er bij de interpretatie van de ontvangsten en het inningspercentage dus rekening mee te houden dat de cijfers voor 202</w:t>
      </w:r>
      <w:r>
        <w:rPr>
          <w:rFonts w:ascii="Verdana" w:hAnsi="Verdana"/>
          <w:sz w:val="20"/>
          <w:szCs w:val="20"/>
        </w:rPr>
        <w:t>2</w:t>
      </w:r>
      <w:r w:rsidRPr="00295E26">
        <w:rPr>
          <w:rFonts w:ascii="Verdana" w:hAnsi="Verdana"/>
          <w:sz w:val="20"/>
          <w:szCs w:val="20"/>
        </w:rPr>
        <w:t xml:space="preserve"> nog niet representatief zijn.</w:t>
      </w:r>
    </w:p>
    <w:p w14:paraId="38ED46FD" w14:textId="77777777" w:rsidR="00BF4173" w:rsidRDefault="00BF4173" w:rsidP="00BF4173">
      <w:pPr>
        <w:ind w:left="284"/>
        <w:jc w:val="both"/>
        <w:rPr>
          <w:rFonts w:ascii="Verdana" w:hAnsi="Verdana"/>
          <w:sz w:val="20"/>
          <w:szCs w:val="20"/>
        </w:rPr>
      </w:pPr>
    </w:p>
    <w:p w14:paraId="01C93A38" w14:textId="5D2A846E" w:rsidR="00BF4173" w:rsidRDefault="00BF4173" w:rsidP="00BF4173">
      <w:pPr>
        <w:ind w:left="284"/>
        <w:jc w:val="both"/>
        <w:rPr>
          <w:rFonts w:ascii="Verdana" w:hAnsi="Verdana"/>
          <w:i/>
          <w:iCs/>
          <w:sz w:val="20"/>
          <w:szCs w:val="20"/>
        </w:rPr>
      </w:pPr>
      <w:r w:rsidRPr="00BF4173">
        <w:rPr>
          <w:rFonts w:ascii="Verdana" w:hAnsi="Verdana"/>
          <w:i/>
          <w:iCs/>
          <w:sz w:val="20"/>
          <w:szCs w:val="20"/>
        </w:rPr>
        <w:t>Totaalbedrag en ontvangsten boetes in euro voor overtredingen in 2022</w:t>
      </w:r>
    </w:p>
    <w:p w14:paraId="43274AED" w14:textId="77777777" w:rsidR="00D229F2" w:rsidRPr="00BF4173" w:rsidRDefault="00D229F2" w:rsidP="00BF4173">
      <w:pPr>
        <w:ind w:left="284"/>
        <w:jc w:val="both"/>
        <w:rPr>
          <w:rFonts w:ascii="Verdana" w:hAnsi="Verdana"/>
          <w:i/>
          <w:iCs/>
          <w:sz w:val="20"/>
          <w:szCs w:val="20"/>
        </w:rPr>
      </w:pPr>
    </w:p>
    <w:tbl>
      <w:tblPr>
        <w:tblStyle w:val="Tabelraster"/>
        <w:tblW w:w="0" w:type="auto"/>
        <w:tblInd w:w="279" w:type="dxa"/>
        <w:tblLook w:val="04A0" w:firstRow="1" w:lastRow="0" w:firstColumn="1" w:lastColumn="0" w:noHBand="0" w:noVBand="1"/>
      </w:tblPr>
      <w:tblGrid>
        <w:gridCol w:w="3420"/>
        <w:gridCol w:w="3402"/>
      </w:tblGrid>
      <w:tr w:rsidR="00BF4173" w:rsidRPr="00295E26" w14:paraId="03E8B245" w14:textId="77777777" w:rsidTr="00BF4173">
        <w:trPr>
          <w:trHeight w:val="300"/>
        </w:trPr>
        <w:tc>
          <w:tcPr>
            <w:tcW w:w="3420" w:type="dxa"/>
            <w:shd w:val="clear" w:color="auto" w:fill="D9D9D9" w:themeFill="background1" w:themeFillShade="D9"/>
          </w:tcPr>
          <w:p w14:paraId="1FCB35CF" w14:textId="77777777" w:rsidR="00BF4173" w:rsidRPr="00295E26" w:rsidRDefault="00BF4173" w:rsidP="00456DAF">
            <w:pPr>
              <w:rPr>
                <w:rFonts w:ascii="Verdana" w:hAnsi="Verdana"/>
                <w:sz w:val="20"/>
                <w:szCs w:val="20"/>
              </w:rPr>
            </w:pPr>
          </w:p>
        </w:tc>
        <w:tc>
          <w:tcPr>
            <w:tcW w:w="3402" w:type="dxa"/>
            <w:shd w:val="clear" w:color="auto" w:fill="D9D9D9" w:themeFill="background1" w:themeFillShade="D9"/>
          </w:tcPr>
          <w:p w14:paraId="51DC1A45" w14:textId="77777777" w:rsidR="00BF4173" w:rsidRPr="008131B2" w:rsidRDefault="00BF4173" w:rsidP="00456DAF">
            <w:pPr>
              <w:pStyle w:val="Lijstalinea"/>
              <w:jc w:val="right"/>
              <w:rPr>
                <w:rFonts w:ascii="Verdana" w:hAnsi="Verdana"/>
                <w:b/>
                <w:bCs/>
                <w:sz w:val="20"/>
                <w:szCs w:val="20"/>
              </w:rPr>
            </w:pPr>
            <w:r w:rsidRPr="008131B2">
              <w:rPr>
                <w:rFonts w:ascii="Verdana" w:hAnsi="Verdana"/>
                <w:b/>
                <w:bCs/>
                <w:sz w:val="20"/>
                <w:szCs w:val="20"/>
              </w:rPr>
              <w:t>2022</w:t>
            </w:r>
          </w:p>
        </w:tc>
      </w:tr>
      <w:tr w:rsidR="00BF4173" w:rsidRPr="00295E26" w14:paraId="7251E3B2" w14:textId="77777777" w:rsidTr="00BF4173">
        <w:trPr>
          <w:trHeight w:val="300"/>
        </w:trPr>
        <w:tc>
          <w:tcPr>
            <w:tcW w:w="3420" w:type="dxa"/>
            <w:shd w:val="clear" w:color="auto" w:fill="D9D9D9" w:themeFill="background1" w:themeFillShade="D9"/>
            <w:hideMark/>
          </w:tcPr>
          <w:p w14:paraId="110BB572" w14:textId="77777777" w:rsidR="00BF4173" w:rsidRPr="00295E26" w:rsidRDefault="00BF4173" w:rsidP="00456DAF">
            <w:pPr>
              <w:rPr>
                <w:rFonts w:ascii="Verdana" w:hAnsi="Verdana"/>
                <w:sz w:val="20"/>
                <w:szCs w:val="20"/>
              </w:rPr>
            </w:pPr>
            <w:r w:rsidRPr="00295E26">
              <w:rPr>
                <w:rFonts w:ascii="Verdana" w:hAnsi="Verdana"/>
                <w:sz w:val="20"/>
                <w:szCs w:val="20"/>
              </w:rPr>
              <w:t>Belgisch</w:t>
            </w:r>
          </w:p>
        </w:tc>
        <w:tc>
          <w:tcPr>
            <w:tcW w:w="3402" w:type="dxa"/>
            <w:shd w:val="clear" w:color="auto" w:fill="D9D9D9" w:themeFill="background1" w:themeFillShade="D9"/>
            <w:hideMark/>
          </w:tcPr>
          <w:p w14:paraId="093C889F" w14:textId="77777777" w:rsidR="00BF4173" w:rsidRPr="00295E26" w:rsidRDefault="00BF4173" w:rsidP="00456DAF">
            <w:pPr>
              <w:pStyle w:val="Lijstalinea"/>
              <w:jc w:val="both"/>
              <w:rPr>
                <w:rFonts w:ascii="Verdana" w:hAnsi="Verdana"/>
                <w:sz w:val="20"/>
                <w:szCs w:val="20"/>
              </w:rPr>
            </w:pPr>
            <w:r w:rsidRPr="00295E26">
              <w:rPr>
                <w:rFonts w:ascii="Verdana" w:hAnsi="Verdana"/>
                <w:sz w:val="20"/>
                <w:szCs w:val="20"/>
              </w:rPr>
              <w:t> </w:t>
            </w:r>
          </w:p>
        </w:tc>
      </w:tr>
      <w:tr w:rsidR="00BF4173" w:rsidRPr="00295E26" w14:paraId="240D5091" w14:textId="77777777" w:rsidTr="00BF4173">
        <w:trPr>
          <w:trHeight w:val="300"/>
        </w:trPr>
        <w:tc>
          <w:tcPr>
            <w:tcW w:w="3420" w:type="dxa"/>
            <w:hideMark/>
          </w:tcPr>
          <w:p w14:paraId="4A991CBF" w14:textId="77777777" w:rsidR="00BF4173" w:rsidRPr="00295E26" w:rsidRDefault="00BF4173" w:rsidP="00456DAF">
            <w:pPr>
              <w:rPr>
                <w:rFonts w:ascii="Verdana" w:hAnsi="Verdana"/>
                <w:sz w:val="20"/>
                <w:szCs w:val="20"/>
              </w:rPr>
            </w:pPr>
            <w:r w:rsidRPr="00295E26">
              <w:rPr>
                <w:rFonts w:ascii="Verdana" w:hAnsi="Verdana"/>
                <w:sz w:val="20"/>
                <w:szCs w:val="20"/>
              </w:rPr>
              <w:t>Te betalen bedrag (€)</w:t>
            </w:r>
          </w:p>
        </w:tc>
        <w:tc>
          <w:tcPr>
            <w:tcW w:w="3402" w:type="dxa"/>
            <w:hideMark/>
          </w:tcPr>
          <w:p w14:paraId="6EF0B99B" w14:textId="77777777" w:rsidR="00BF4173" w:rsidRPr="00295E26" w:rsidRDefault="00BF4173" w:rsidP="00456DAF">
            <w:pPr>
              <w:jc w:val="right"/>
              <w:rPr>
                <w:rFonts w:ascii="Verdana" w:hAnsi="Verdana"/>
                <w:sz w:val="20"/>
                <w:szCs w:val="20"/>
              </w:rPr>
            </w:pPr>
            <w:r w:rsidRPr="00295E26">
              <w:rPr>
                <w:rFonts w:ascii="Verdana" w:hAnsi="Verdana"/>
                <w:sz w:val="20"/>
                <w:szCs w:val="20"/>
              </w:rPr>
              <w:t>3.670.660</w:t>
            </w:r>
          </w:p>
        </w:tc>
      </w:tr>
      <w:tr w:rsidR="00BF4173" w:rsidRPr="00295E26" w14:paraId="20F73133" w14:textId="77777777" w:rsidTr="00BF4173">
        <w:trPr>
          <w:trHeight w:val="300"/>
        </w:trPr>
        <w:tc>
          <w:tcPr>
            <w:tcW w:w="3420" w:type="dxa"/>
            <w:hideMark/>
          </w:tcPr>
          <w:p w14:paraId="2DD89BD3" w14:textId="77777777" w:rsidR="00BF4173" w:rsidRPr="00295E26" w:rsidRDefault="00BF4173" w:rsidP="00456DAF">
            <w:pPr>
              <w:rPr>
                <w:rFonts w:ascii="Verdana" w:hAnsi="Verdana"/>
                <w:sz w:val="20"/>
                <w:szCs w:val="20"/>
              </w:rPr>
            </w:pPr>
            <w:r w:rsidRPr="00295E26">
              <w:rPr>
                <w:rFonts w:ascii="Verdana" w:hAnsi="Verdana"/>
                <w:sz w:val="20"/>
                <w:szCs w:val="20"/>
              </w:rPr>
              <w:t>Ontvangsten (€)</w:t>
            </w:r>
          </w:p>
        </w:tc>
        <w:tc>
          <w:tcPr>
            <w:tcW w:w="3402" w:type="dxa"/>
            <w:hideMark/>
          </w:tcPr>
          <w:p w14:paraId="69DEBCA0" w14:textId="77777777" w:rsidR="00BF4173" w:rsidRPr="00295E26" w:rsidRDefault="00BF4173" w:rsidP="00456DAF">
            <w:pPr>
              <w:jc w:val="right"/>
              <w:rPr>
                <w:rFonts w:ascii="Verdana" w:hAnsi="Verdana"/>
                <w:sz w:val="20"/>
                <w:szCs w:val="20"/>
              </w:rPr>
            </w:pPr>
            <w:r w:rsidRPr="00295E26">
              <w:rPr>
                <w:rFonts w:ascii="Verdana" w:hAnsi="Verdana"/>
                <w:sz w:val="20"/>
                <w:szCs w:val="20"/>
              </w:rPr>
              <w:t>2.342.580</w:t>
            </w:r>
          </w:p>
        </w:tc>
      </w:tr>
      <w:tr w:rsidR="00BF4173" w:rsidRPr="00295E26" w14:paraId="6F1EE20F" w14:textId="77777777" w:rsidTr="00BF4173">
        <w:trPr>
          <w:trHeight w:val="300"/>
        </w:trPr>
        <w:tc>
          <w:tcPr>
            <w:tcW w:w="3420" w:type="dxa"/>
            <w:hideMark/>
          </w:tcPr>
          <w:p w14:paraId="46273AA8" w14:textId="77777777" w:rsidR="00BF4173" w:rsidRPr="00295E26" w:rsidRDefault="00BF4173" w:rsidP="00456DAF">
            <w:pPr>
              <w:rPr>
                <w:rFonts w:ascii="Verdana" w:hAnsi="Verdana"/>
                <w:sz w:val="20"/>
                <w:szCs w:val="20"/>
              </w:rPr>
            </w:pPr>
            <w:r w:rsidRPr="00295E26">
              <w:rPr>
                <w:rFonts w:ascii="Verdana" w:hAnsi="Verdana"/>
                <w:sz w:val="20"/>
                <w:szCs w:val="20"/>
              </w:rPr>
              <w:t>Inningspercentage</w:t>
            </w:r>
          </w:p>
        </w:tc>
        <w:tc>
          <w:tcPr>
            <w:tcW w:w="3402" w:type="dxa"/>
            <w:hideMark/>
          </w:tcPr>
          <w:p w14:paraId="6A0223A8" w14:textId="77777777" w:rsidR="00BF4173" w:rsidRPr="00295E26" w:rsidRDefault="00BF4173" w:rsidP="00456DAF">
            <w:pPr>
              <w:jc w:val="right"/>
              <w:rPr>
                <w:rFonts w:ascii="Verdana" w:hAnsi="Verdana"/>
                <w:sz w:val="20"/>
                <w:szCs w:val="20"/>
              </w:rPr>
            </w:pPr>
            <w:r w:rsidRPr="00295E26">
              <w:rPr>
                <w:rFonts w:ascii="Verdana" w:hAnsi="Verdana"/>
                <w:sz w:val="20"/>
                <w:szCs w:val="20"/>
              </w:rPr>
              <w:t>63,82%</w:t>
            </w:r>
          </w:p>
        </w:tc>
      </w:tr>
      <w:tr w:rsidR="00BF4173" w:rsidRPr="00295E26" w14:paraId="31E85AC3" w14:textId="77777777" w:rsidTr="00BF4173">
        <w:trPr>
          <w:trHeight w:val="300"/>
        </w:trPr>
        <w:tc>
          <w:tcPr>
            <w:tcW w:w="3420" w:type="dxa"/>
            <w:shd w:val="clear" w:color="auto" w:fill="D9D9D9" w:themeFill="background1" w:themeFillShade="D9"/>
            <w:hideMark/>
          </w:tcPr>
          <w:p w14:paraId="0ED34739" w14:textId="77777777" w:rsidR="00BF4173" w:rsidRPr="00295E26" w:rsidRDefault="00BF4173" w:rsidP="00456DAF">
            <w:pPr>
              <w:rPr>
                <w:rFonts w:ascii="Verdana" w:hAnsi="Verdana"/>
                <w:sz w:val="20"/>
                <w:szCs w:val="20"/>
              </w:rPr>
            </w:pPr>
            <w:r w:rsidRPr="00295E26">
              <w:rPr>
                <w:rFonts w:ascii="Verdana" w:hAnsi="Verdana"/>
                <w:sz w:val="20"/>
                <w:szCs w:val="20"/>
              </w:rPr>
              <w:t>Buitenlands</w:t>
            </w:r>
          </w:p>
        </w:tc>
        <w:tc>
          <w:tcPr>
            <w:tcW w:w="3402" w:type="dxa"/>
            <w:shd w:val="clear" w:color="auto" w:fill="D9D9D9" w:themeFill="background1" w:themeFillShade="D9"/>
            <w:hideMark/>
          </w:tcPr>
          <w:p w14:paraId="5A600D3A" w14:textId="77777777" w:rsidR="00BF4173" w:rsidRPr="00295E26" w:rsidRDefault="00BF4173" w:rsidP="00456DAF">
            <w:pPr>
              <w:pStyle w:val="Lijstalinea"/>
              <w:jc w:val="right"/>
              <w:rPr>
                <w:rFonts w:ascii="Verdana" w:hAnsi="Verdana"/>
                <w:sz w:val="20"/>
                <w:szCs w:val="20"/>
              </w:rPr>
            </w:pPr>
            <w:r w:rsidRPr="00295E26">
              <w:rPr>
                <w:rFonts w:ascii="Verdana" w:hAnsi="Verdana"/>
                <w:sz w:val="20"/>
                <w:szCs w:val="20"/>
              </w:rPr>
              <w:t> </w:t>
            </w:r>
          </w:p>
        </w:tc>
      </w:tr>
      <w:tr w:rsidR="00BF4173" w:rsidRPr="00295E26" w14:paraId="17BB24FF" w14:textId="77777777" w:rsidTr="00BF4173">
        <w:trPr>
          <w:trHeight w:val="300"/>
        </w:trPr>
        <w:tc>
          <w:tcPr>
            <w:tcW w:w="3420" w:type="dxa"/>
            <w:hideMark/>
          </w:tcPr>
          <w:p w14:paraId="39EECBDF" w14:textId="77777777" w:rsidR="00BF4173" w:rsidRPr="00295E26" w:rsidRDefault="00BF4173" w:rsidP="00456DAF">
            <w:pPr>
              <w:rPr>
                <w:rFonts w:ascii="Verdana" w:hAnsi="Verdana"/>
                <w:sz w:val="20"/>
                <w:szCs w:val="20"/>
              </w:rPr>
            </w:pPr>
            <w:r w:rsidRPr="00295E26">
              <w:rPr>
                <w:rFonts w:ascii="Verdana" w:hAnsi="Verdana"/>
                <w:sz w:val="20"/>
                <w:szCs w:val="20"/>
              </w:rPr>
              <w:t>Te betalen bedrag (€)</w:t>
            </w:r>
          </w:p>
        </w:tc>
        <w:tc>
          <w:tcPr>
            <w:tcW w:w="3402" w:type="dxa"/>
            <w:hideMark/>
          </w:tcPr>
          <w:p w14:paraId="19100C78" w14:textId="77777777" w:rsidR="00BF4173" w:rsidRPr="00295E26" w:rsidRDefault="00BF4173" w:rsidP="00456DAF">
            <w:pPr>
              <w:jc w:val="right"/>
              <w:rPr>
                <w:rFonts w:ascii="Verdana" w:hAnsi="Verdana"/>
                <w:sz w:val="20"/>
                <w:szCs w:val="20"/>
              </w:rPr>
            </w:pPr>
            <w:r w:rsidRPr="00295E26">
              <w:rPr>
                <w:rFonts w:ascii="Verdana" w:hAnsi="Verdana"/>
                <w:sz w:val="20"/>
                <w:szCs w:val="20"/>
              </w:rPr>
              <w:t>15.437.400</w:t>
            </w:r>
          </w:p>
        </w:tc>
      </w:tr>
      <w:tr w:rsidR="00BF4173" w:rsidRPr="00295E26" w14:paraId="5A74E91C" w14:textId="77777777" w:rsidTr="00BF4173">
        <w:trPr>
          <w:trHeight w:val="300"/>
        </w:trPr>
        <w:tc>
          <w:tcPr>
            <w:tcW w:w="3420" w:type="dxa"/>
            <w:hideMark/>
          </w:tcPr>
          <w:p w14:paraId="01871678" w14:textId="77777777" w:rsidR="00BF4173" w:rsidRPr="00295E26" w:rsidRDefault="00BF4173" w:rsidP="00456DAF">
            <w:pPr>
              <w:rPr>
                <w:rFonts w:ascii="Verdana" w:hAnsi="Verdana"/>
                <w:sz w:val="20"/>
                <w:szCs w:val="20"/>
              </w:rPr>
            </w:pPr>
            <w:r w:rsidRPr="00295E26">
              <w:rPr>
                <w:rFonts w:ascii="Verdana" w:hAnsi="Verdana"/>
                <w:sz w:val="20"/>
                <w:szCs w:val="20"/>
              </w:rPr>
              <w:t>Ontvangsten (€)</w:t>
            </w:r>
          </w:p>
        </w:tc>
        <w:tc>
          <w:tcPr>
            <w:tcW w:w="3402" w:type="dxa"/>
            <w:hideMark/>
          </w:tcPr>
          <w:p w14:paraId="3675A62D" w14:textId="77777777" w:rsidR="00BF4173" w:rsidRPr="00295E26" w:rsidRDefault="00BF4173" w:rsidP="00456DAF">
            <w:pPr>
              <w:jc w:val="right"/>
              <w:rPr>
                <w:rFonts w:ascii="Verdana" w:hAnsi="Verdana"/>
                <w:sz w:val="20"/>
                <w:szCs w:val="20"/>
              </w:rPr>
            </w:pPr>
            <w:r w:rsidRPr="00295E26">
              <w:rPr>
                <w:rFonts w:ascii="Verdana" w:hAnsi="Verdana"/>
                <w:sz w:val="20"/>
                <w:szCs w:val="20"/>
              </w:rPr>
              <w:t>7.722.070</w:t>
            </w:r>
          </w:p>
        </w:tc>
      </w:tr>
      <w:tr w:rsidR="00BF4173" w:rsidRPr="00295E26" w14:paraId="5090BBB7" w14:textId="77777777" w:rsidTr="00BF4173">
        <w:trPr>
          <w:trHeight w:val="300"/>
        </w:trPr>
        <w:tc>
          <w:tcPr>
            <w:tcW w:w="3420" w:type="dxa"/>
            <w:hideMark/>
          </w:tcPr>
          <w:p w14:paraId="521FB787" w14:textId="77777777" w:rsidR="00BF4173" w:rsidRPr="00295E26" w:rsidRDefault="00BF4173" w:rsidP="00456DAF">
            <w:pPr>
              <w:rPr>
                <w:rFonts w:ascii="Verdana" w:hAnsi="Verdana"/>
                <w:sz w:val="20"/>
                <w:szCs w:val="20"/>
              </w:rPr>
            </w:pPr>
            <w:r w:rsidRPr="00295E26">
              <w:rPr>
                <w:rFonts w:ascii="Verdana" w:hAnsi="Verdana"/>
                <w:sz w:val="20"/>
                <w:szCs w:val="20"/>
              </w:rPr>
              <w:t>Inningspercentage</w:t>
            </w:r>
          </w:p>
        </w:tc>
        <w:tc>
          <w:tcPr>
            <w:tcW w:w="3402" w:type="dxa"/>
            <w:hideMark/>
          </w:tcPr>
          <w:p w14:paraId="25D0A683" w14:textId="77777777" w:rsidR="00BF4173" w:rsidRPr="00295E26" w:rsidRDefault="00BF4173" w:rsidP="00456DAF">
            <w:pPr>
              <w:jc w:val="right"/>
              <w:rPr>
                <w:rFonts w:ascii="Verdana" w:hAnsi="Verdana"/>
                <w:sz w:val="20"/>
                <w:szCs w:val="20"/>
              </w:rPr>
            </w:pPr>
            <w:r w:rsidRPr="00295E26">
              <w:rPr>
                <w:rFonts w:ascii="Verdana" w:hAnsi="Verdana"/>
                <w:sz w:val="20"/>
                <w:szCs w:val="20"/>
              </w:rPr>
              <w:t>50,02%</w:t>
            </w:r>
          </w:p>
        </w:tc>
      </w:tr>
      <w:tr w:rsidR="00BF4173" w:rsidRPr="00295E26" w14:paraId="587BC5A4" w14:textId="77777777" w:rsidTr="00BF4173">
        <w:trPr>
          <w:trHeight w:val="300"/>
        </w:trPr>
        <w:tc>
          <w:tcPr>
            <w:tcW w:w="3420" w:type="dxa"/>
            <w:shd w:val="clear" w:color="auto" w:fill="D9D9D9" w:themeFill="background1" w:themeFillShade="D9"/>
            <w:hideMark/>
          </w:tcPr>
          <w:p w14:paraId="5B7E4A4C" w14:textId="77777777" w:rsidR="00BF4173" w:rsidRPr="00295E26" w:rsidRDefault="00BF4173" w:rsidP="00456DAF">
            <w:pPr>
              <w:rPr>
                <w:rFonts w:ascii="Verdana" w:hAnsi="Verdana"/>
                <w:b/>
                <w:bCs/>
                <w:sz w:val="20"/>
                <w:szCs w:val="20"/>
              </w:rPr>
            </w:pPr>
            <w:r w:rsidRPr="00295E26">
              <w:rPr>
                <w:rFonts w:ascii="Verdana" w:hAnsi="Verdana"/>
                <w:b/>
                <w:bCs/>
                <w:sz w:val="20"/>
                <w:szCs w:val="20"/>
              </w:rPr>
              <w:t>Totaal</w:t>
            </w:r>
          </w:p>
        </w:tc>
        <w:tc>
          <w:tcPr>
            <w:tcW w:w="3402" w:type="dxa"/>
            <w:shd w:val="clear" w:color="auto" w:fill="D9D9D9" w:themeFill="background1" w:themeFillShade="D9"/>
            <w:hideMark/>
          </w:tcPr>
          <w:p w14:paraId="16F53841" w14:textId="77777777" w:rsidR="00BF4173" w:rsidRPr="00295E26" w:rsidRDefault="00BF4173" w:rsidP="00456DAF">
            <w:pPr>
              <w:pStyle w:val="Lijstalinea"/>
              <w:jc w:val="right"/>
              <w:rPr>
                <w:rFonts w:ascii="Verdana" w:hAnsi="Verdana"/>
                <w:sz w:val="20"/>
                <w:szCs w:val="20"/>
              </w:rPr>
            </w:pPr>
            <w:r w:rsidRPr="00295E26">
              <w:rPr>
                <w:rFonts w:ascii="Verdana" w:hAnsi="Verdana"/>
                <w:sz w:val="20"/>
                <w:szCs w:val="20"/>
              </w:rPr>
              <w:t> </w:t>
            </w:r>
          </w:p>
        </w:tc>
      </w:tr>
      <w:tr w:rsidR="00BF4173" w:rsidRPr="00295E26" w14:paraId="7FF0B7B8" w14:textId="77777777" w:rsidTr="00BF4173">
        <w:trPr>
          <w:trHeight w:val="300"/>
        </w:trPr>
        <w:tc>
          <w:tcPr>
            <w:tcW w:w="3420" w:type="dxa"/>
            <w:hideMark/>
          </w:tcPr>
          <w:p w14:paraId="1F5A0EFB" w14:textId="77777777" w:rsidR="00BF4173" w:rsidRPr="00295E26" w:rsidRDefault="00BF4173" w:rsidP="00456DAF">
            <w:pPr>
              <w:rPr>
                <w:rFonts w:ascii="Verdana" w:hAnsi="Verdana"/>
                <w:sz w:val="20"/>
                <w:szCs w:val="20"/>
              </w:rPr>
            </w:pPr>
            <w:r w:rsidRPr="00295E26">
              <w:rPr>
                <w:rFonts w:ascii="Verdana" w:hAnsi="Verdana"/>
                <w:sz w:val="20"/>
                <w:szCs w:val="20"/>
              </w:rPr>
              <w:t>Te betalen bedrag (€)</w:t>
            </w:r>
          </w:p>
        </w:tc>
        <w:tc>
          <w:tcPr>
            <w:tcW w:w="3402" w:type="dxa"/>
            <w:hideMark/>
          </w:tcPr>
          <w:p w14:paraId="5CFD63F6" w14:textId="77777777" w:rsidR="00BF4173" w:rsidRPr="00295E26" w:rsidRDefault="00BF4173" w:rsidP="00456DAF">
            <w:pPr>
              <w:jc w:val="right"/>
              <w:rPr>
                <w:rFonts w:ascii="Verdana" w:hAnsi="Verdana"/>
                <w:sz w:val="20"/>
                <w:szCs w:val="20"/>
              </w:rPr>
            </w:pPr>
            <w:r w:rsidRPr="00295E26">
              <w:rPr>
                <w:rFonts w:ascii="Verdana" w:hAnsi="Verdana"/>
                <w:sz w:val="20"/>
                <w:szCs w:val="20"/>
              </w:rPr>
              <w:t>19.108.060</w:t>
            </w:r>
          </w:p>
        </w:tc>
      </w:tr>
      <w:tr w:rsidR="00BF4173" w:rsidRPr="00295E26" w14:paraId="1287B443" w14:textId="77777777" w:rsidTr="00BF4173">
        <w:trPr>
          <w:trHeight w:val="300"/>
        </w:trPr>
        <w:tc>
          <w:tcPr>
            <w:tcW w:w="3420" w:type="dxa"/>
            <w:hideMark/>
          </w:tcPr>
          <w:p w14:paraId="50C50880" w14:textId="77777777" w:rsidR="00BF4173" w:rsidRPr="00295E26" w:rsidRDefault="00BF4173" w:rsidP="00456DAF">
            <w:pPr>
              <w:rPr>
                <w:rFonts w:ascii="Verdana" w:hAnsi="Verdana"/>
                <w:sz w:val="20"/>
                <w:szCs w:val="20"/>
              </w:rPr>
            </w:pPr>
            <w:r w:rsidRPr="00295E26">
              <w:rPr>
                <w:rFonts w:ascii="Verdana" w:hAnsi="Verdana"/>
                <w:sz w:val="20"/>
                <w:szCs w:val="20"/>
              </w:rPr>
              <w:t>Ontvangsten (€)</w:t>
            </w:r>
          </w:p>
        </w:tc>
        <w:tc>
          <w:tcPr>
            <w:tcW w:w="3402" w:type="dxa"/>
            <w:hideMark/>
          </w:tcPr>
          <w:p w14:paraId="31E3FDAD" w14:textId="77777777" w:rsidR="00BF4173" w:rsidRPr="00295E26" w:rsidRDefault="00BF4173" w:rsidP="00456DAF">
            <w:pPr>
              <w:jc w:val="right"/>
              <w:rPr>
                <w:rFonts w:ascii="Verdana" w:hAnsi="Verdana"/>
                <w:sz w:val="20"/>
                <w:szCs w:val="20"/>
              </w:rPr>
            </w:pPr>
            <w:r w:rsidRPr="00295E26">
              <w:rPr>
                <w:rFonts w:ascii="Verdana" w:hAnsi="Verdana"/>
                <w:sz w:val="20"/>
                <w:szCs w:val="20"/>
              </w:rPr>
              <w:t>10.064.650</w:t>
            </w:r>
          </w:p>
        </w:tc>
      </w:tr>
      <w:tr w:rsidR="00BF4173" w:rsidRPr="00012FC0" w14:paraId="0B54468F" w14:textId="77777777" w:rsidTr="00BF4173">
        <w:trPr>
          <w:trHeight w:val="300"/>
        </w:trPr>
        <w:tc>
          <w:tcPr>
            <w:tcW w:w="3420" w:type="dxa"/>
            <w:hideMark/>
          </w:tcPr>
          <w:p w14:paraId="7B1B1CB8" w14:textId="77777777" w:rsidR="00BF4173" w:rsidRPr="00012FC0" w:rsidRDefault="00BF4173" w:rsidP="00456DAF">
            <w:pPr>
              <w:rPr>
                <w:rFonts w:ascii="Verdana" w:hAnsi="Verdana"/>
                <w:sz w:val="20"/>
                <w:szCs w:val="20"/>
              </w:rPr>
            </w:pPr>
            <w:r w:rsidRPr="00012FC0">
              <w:rPr>
                <w:rFonts w:ascii="Verdana" w:hAnsi="Verdana"/>
                <w:sz w:val="20"/>
                <w:szCs w:val="20"/>
              </w:rPr>
              <w:t xml:space="preserve">Inningspercentage </w:t>
            </w:r>
          </w:p>
        </w:tc>
        <w:tc>
          <w:tcPr>
            <w:tcW w:w="3402" w:type="dxa"/>
            <w:hideMark/>
          </w:tcPr>
          <w:p w14:paraId="5A29A964" w14:textId="77777777" w:rsidR="00BF4173" w:rsidRPr="00012FC0" w:rsidRDefault="00BF4173" w:rsidP="00456DAF">
            <w:pPr>
              <w:jc w:val="right"/>
              <w:rPr>
                <w:rFonts w:ascii="Verdana" w:hAnsi="Verdana"/>
                <w:sz w:val="20"/>
                <w:szCs w:val="20"/>
              </w:rPr>
            </w:pPr>
            <w:r w:rsidRPr="00012FC0">
              <w:rPr>
                <w:rFonts w:ascii="Verdana" w:hAnsi="Verdana"/>
                <w:sz w:val="20"/>
                <w:szCs w:val="20"/>
              </w:rPr>
              <w:t>52,67%</w:t>
            </w:r>
          </w:p>
        </w:tc>
      </w:tr>
    </w:tbl>
    <w:p w14:paraId="7942DA8C" w14:textId="39C535B5" w:rsidR="00BF4173" w:rsidRDefault="00BF4173" w:rsidP="00BF4173">
      <w:pPr>
        <w:rPr>
          <w:rFonts w:ascii="Verdana" w:hAnsi="Verdana"/>
          <w:sz w:val="20"/>
          <w:szCs w:val="20"/>
        </w:rPr>
      </w:pPr>
    </w:p>
    <w:p w14:paraId="54D86B5B" w14:textId="77777777" w:rsidR="00BF4173" w:rsidRPr="00012FC0" w:rsidRDefault="00BF4173" w:rsidP="00BF4173">
      <w:pPr>
        <w:numPr>
          <w:ilvl w:val="0"/>
          <w:numId w:val="3"/>
        </w:numPr>
        <w:ind w:left="284" w:hanging="284"/>
        <w:jc w:val="both"/>
        <w:rPr>
          <w:rFonts w:ascii="Verdana" w:hAnsi="Verdana"/>
          <w:sz w:val="20"/>
          <w:szCs w:val="20"/>
        </w:rPr>
      </w:pPr>
      <w:r w:rsidRPr="00012FC0">
        <w:rPr>
          <w:rFonts w:ascii="Verdana" w:hAnsi="Verdana"/>
          <w:sz w:val="20"/>
          <w:szCs w:val="20"/>
        </w:rPr>
        <w:t>Ook in 2022 werd de bestaande invorderingscyclus verder gevolgd. De mobiele controleploegen voeren dagelijks controles uit om onbetaalde boetes te innen. Kentekens met openstaande boetes komen terecht op een blacklist zodat deze geseind kunnen worden door de ANPR-camera’s en door de mobiele controleploegen kunnen worden tegengehouden. Indien men de boete dan niet onmiddellijk betaalt, wordt het voertuig door het bevoegde personeelslid aangehaald tot de verschuldigde sommen betaald zijn.</w:t>
      </w:r>
    </w:p>
    <w:p w14:paraId="0D9B70BB" w14:textId="77777777" w:rsidR="00BF4173" w:rsidRPr="00012FC0" w:rsidRDefault="00BF4173" w:rsidP="00BF4173">
      <w:pPr>
        <w:ind w:left="284"/>
        <w:jc w:val="both"/>
        <w:rPr>
          <w:rFonts w:ascii="Verdana" w:hAnsi="Verdana"/>
          <w:sz w:val="20"/>
          <w:szCs w:val="20"/>
        </w:rPr>
      </w:pPr>
    </w:p>
    <w:p w14:paraId="1F407447" w14:textId="77777777" w:rsidR="00BF4173" w:rsidRDefault="00BF4173" w:rsidP="00BF4173">
      <w:pPr>
        <w:ind w:left="284"/>
        <w:jc w:val="both"/>
        <w:rPr>
          <w:rFonts w:ascii="Verdana" w:hAnsi="Verdana"/>
          <w:sz w:val="20"/>
          <w:szCs w:val="20"/>
        </w:rPr>
      </w:pPr>
      <w:r w:rsidRPr="00012FC0">
        <w:rPr>
          <w:rFonts w:ascii="Verdana" w:hAnsi="Verdana"/>
          <w:sz w:val="20"/>
          <w:szCs w:val="20"/>
        </w:rPr>
        <w:t>In onderstaande tabel wordt een overzicht gegeven van de openstaande boetes voor overtredingen in voorgaande jaren die in 2022 werden betaald. Voor boetes uit 202</w:t>
      </w:r>
      <w:r>
        <w:rPr>
          <w:rFonts w:ascii="Verdana" w:hAnsi="Verdana"/>
          <w:sz w:val="20"/>
          <w:szCs w:val="20"/>
        </w:rPr>
        <w:t>1</w:t>
      </w:r>
      <w:r w:rsidRPr="00012FC0">
        <w:rPr>
          <w:rFonts w:ascii="Verdana" w:hAnsi="Verdana"/>
          <w:sz w:val="20"/>
          <w:szCs w:val="20"/>
        </w:rPr>
        <w:t xml:space="preserve"> gaat het voornamelijk om boetes waarvan de betaaltermijn pas in 2022 afliep. Voor de oudere boetes wordt hiermee aangetoond dat aanhoudende invorderingsinspanningen worden geleverd.</w:t>
      </w:r>
    </w:p>
    <w:p w14:paraId="06B98011" w14:textId="77777777" w:rsidR="00BF4173" w:rsidRDefault="00BF4173" w:rsidP="00BF4173">
      <w:pPr>
        <w:ind w:left="284"/>
        <w:jc w:val="both"/>
        <w:rPr>
          <w:rFonts w:ascii="Verdana" w:hAnsi="Verdana"/>
          <w:sz w:val="20"/>
          <w:szCs w:val="20"/>
        </w:rPr>
      </w:pPr>
    </w:p>
    <w:tbl>
      <w:tblPr>
        <w:tblStyle w:val="Tabelraster"/>
        <w:tblpPr w:leftFromText="141" w:rightFromText="141" w:vertAnchor="text" w:horzAnchor="page" w:tblpX="1650" w:tblpY="-66"/>
        <w:tblW w:w="0" w:type="auto"/>
        <w:tblLook w:val="04A0" w:firstRow="1" w:lastRow="0" w:firstColumn="1" w:lastColumn="0" w:noHBand="0" w:noVBand="1"/>
      </w:tblPr>
      <w:tblGrid>
        <w:gridCol w:w="2972"/>
        <w:gridCol w:w="2410"/>
      </w:tblGrid>
      <w:tr w:rsidR="00BF4173" w:rsidRPr="00012FC0" w14:paraId="69B08CA5" w14:textId="77777777" w:rsidTr="00BF4173">
        <w:trPr>
          <w:trHeight w:val="264"/>
        </w:trPr>
        <w:tc>
          <w:tcPr>
            <w:tcW w:w="2972" w:type="dxa"/>
            <w:hideMark/>
          </w:tcPr>
          <w:p w14:paraId="1572CF77" w14:textId="77777777" w:rsidR="00BF4173" w:rsidRPr="00012FC0" w:rsidRDefault="00BF4173" w:rsidP="00BF4173">
            <w:pPr>
              <w:jc w:val="both"/>
              <w:rPr>
                <w:rFonts w:ascii="Verdana" w:hAnsi="Verdana"/>
                <w:b/>
                <w:bCs/>
                <w:sz w:val="20"/>
                <w:szCs w:val="20"/>
              </w:rPr>
            </w:pPr>
            <w:r w:rsidRPr="00012FC0">
              <w:rPr>
                <w:rFonts w:ascii="Verdana" w:hAnsi="Verdana"/>
                <w:b/>
                <w:bCs/>
                <w:sz w:val="20"/>
                <w:szCs w:val="20"/>
              </w:rPr>
              <w:lastRenderedPageBreak/>
              <w:t xml:space="preserve">Jaar </w:t>
            </w:r>
            <w:r>
              <w:rPr>
                <w:rFonts w:ascii="Verdana" w:hAnsi="Verdana"/>
                <w:b/>
                <w:bCs/>
                <w:sz w:val="20"/>
                <w:szCs w:val="20"/>
              </w:rPr>
              <w:t xml:space="preserve">van </w:t>
            </w:r>
            <w:r w:rsidRPr="00012FC0">
              <w:rPr>
                <w:rFonts w:ascii="Verdana" w:hAnsi="Verdana"/>
                <w:b/>
                <w:bCs/>
                <w:sz w:val="20"/>
                <w:szCs w:val="20"/>
              </w:rPr>
              <w:t>overtreding</w:t>
            </w:r>
          </w:p>
        </w:tc>
        <w:tc>
          <w:tcPr>
            <w:tcW w:w="2410" w:type="dxa"/>
            <w:hideMark/>
          </w:tcPr>
          <w:p w14:paraId="708DC00D" w14:textId="77777777" w:rsidR="00BF4173" w:rsidRPr="00012FC0" w:rsidRDefault="00BF4173" w:rsidP="00BF4173">
            <w:pPr>
              <w:jc w:val="right"/>
              <w:rPr>
                <w:rFonts w:ascii="Verdana" w:hAnsi="Verdana"/>
                <w:b/>
                <w:bCs/>
                <w:sz w:val="20"/>
                <w:szCs w:val="20"/>
              </w:rPr>
            </w:pPr>
            <w:r w:rsidRPr="00012FC0">
              <w:rPr>
                <w:rFonts w:ascii="Verdana" w:hAnsi="Verdana"/>
                <w:b/>
                <w:bCs/>
                <w:sz w:val="20"/>
                <w:szCs w:val="20"/>
              </w:rPr>
              <w:t xml:space="preserve">Jaar </w:t>
            </w:r>
            <w:r>
              <w:rPr>
                <w:rFonts w:ascii="Verdana" w:hAnsi="Verdana"/>
                <w:b/>
                <w:bCs/>
                <w:sz w:val="20"/>
                <w:szCs w:val="20"/>
              </w:rPr>
              <w:t xml:space="preserve">van </w:t>
            </w:r>
            <w:r w:rsidRPr="00012FC0">
              <w:rPr>
                <w:rFonts w:ascii="Verdana" w:hAnsi="Verdana"/>
                <w:b/>
                <w:bCs/>
                <w:sz w:val="20"/>
                <w:szCs w:val="20"/>
              </w:rPr>
              <w:t xml:space="preserve">ontvangst </w:t>
            </w:r>
          </w:p>
          <w:p w14:paraId="090D98EE" w14:textId="77777777" w:rsidR="00BF4173" w:rsidRPr="00012FC0" w:rsidRDefault="00BF4173" w:rsidP="00BF4173">
            <w:pPr>
              <w:jc w:val="right"/>
              <w:rPr>
                <w:rFonts w:ascii="Verdana" w:hAnsi="Verdana"/>
                <w:b/>
                <w:bCs/>
                <w:sz w:val="20"/>
                <w:szCs w:val="20"/>
              </w:rPr>
            </w:pPr>
            <w:r w:rsidRPr="00012FC0">
              <w:rPr>
                <w:rFonts w:ascii="Verdana" w:hAnsi="Verdana"/>
                <w:b/>
                <w:bCs/>
                <w:sz w:val="20"/>
                <w:szCs w:val="20"/>
              </w:rPr>
              <w:t>2022</w:t>
            </w:r>
          </w:p>
        </w:tc>
      </w:tr>
      <w:tr w:rsidR="00BF4173" w:rsidRPr="00012FC0" w14:paraId="179CD026" w14:textId="77777777" w:rsidTr="00BF4173">
        <w:trPr>
          <w:trHeight w:val="264"/>
        </w:trPr>
        <w:tc>
          <w:tcPr>
            <w:tcW w:w="2972" w:type="dxa"/>
          </w:tcPr>
          <w:p w14:paraId="351079E6" w14:textId="77777777" w:rsidR="00BF4173" w:rsidRPr="008131B2" w:rsidRDefault="00BF4173" w:rsidP="00BF4173">
            <w:pPr>
              <w:jc w:val="both"/>
              <w:rPr>
                <w:rFonts w:ascii="Verdana" w:hAnsi="Verdana"/>
                <w:sz w:val="20"/>
                <w:szCs w:val="20"/>
              </w:rPr>
            </w:pPr>
            <w:r w:rsidRPr="008131B2">
              <w:rPr>
                <w:rFonts w:ascii="Verdana" w:hAnsi="Verdana"/>
                <w:sz w:val="20"/>
                <w:szCs w:val="20"/>
              </w:rPr>
              <w:t>2016</w:t>
            </w:r>
          </w:p>
        </w:tc>
        <w:tc>
          <w:tcPr>
            <w:tcW w:w="2410" w:type="dxa"/>
            <w:hideMark/>
          </w:tcPr>
          <w:p w14:paraId="54212BDE" w14:textId="77777777" w:rsidR="00BF4173" w:rsidRPr="00012FC0" w:rsidRDefault="00BF4173" w:rsidP="00BF4173">
            <w:pPr>
              <w:jc w:val="right"/>
              <w:rPr>
                <w:rFonts w:ascii="Verdana" w:hAnsi="Verdana"/>
                <w:sz w:val="20"/>
                <w:szCs w:val="20"/>
              </w:rPr>
            </w:pPr>
            <w:r w:rsidRPr="00012FC0">
              <w:rPr>
                <w:rFonts w:ascii="Verdana" w:hAnsi="Verdana"/>
                <w:sz w:val="20"/>
                <w:szCs w:val="20"/>
              </w:rPr>
              <w:t>€ 52.83</w:t>
            </w:r>
            <w:r>
              <w:rPr>
                <w:rFonts w:ascii="Verdana" w:hAnsi="Verdana"/>
                <w:sz w:val="20"/>
                <w:szCs w:val="20"/>
              </w:rPr>
              <w:t>3</w:t>
            </w:r>
          </w:p>
        </w:tc>
      </w:tr>
      <w:tr w:rsidR="00BF4173" w:rsidRPr="00012FC0" w14:paraId="7F8799AD" w14:textId="77777777" w:rsidTr="00BF4173">
        <w:trPr>
          <w:trHeight w:val="264"/>
        </w:trPr>
        <w:tc>
          <w:tcPr>
            <w:tcW w:w="2972" w:type="dxa"/>
          </w:tcPr>
          <w:p w14:paraId="75E9F5E0" w14:textId="77777777" w:rsidR="00BF4173" w:rsidRPr="008131B2" w:rsidRDefault="00BF4173" w:rsidP="00BF4173">
            <w:pPr>
              <w:jc w:val="both"/>
              <w:rPr>
                <w:rFonts w:ascii="Verdana" w:hAnsi="Verdana"/>
                <w:sz w:val="20"/>
                <w:szCs w:val="20"/>
              </w:rPr>
            </w:pPr>
            <w:r w:rsidRPr="008131B2">
              <w:rPr>
                <w:rFonts w:ascii="Verdana" w:hAnsi="Verdana"/>
                <w:sz w:val="20"/>
                <w:szCs w:val="20"/>
              </w:rPr>
              <w:t>2017</w:t>
            </w:r>
          </w:p>
        </w:tc>
        <w:tc>
          <w:tcPr>
            <w:tcW w:w="2410" w:type="dxa"/>
          </w:tcPr>
          <w:p w14:paraId="2B8A9BCC" w14:textId="77777777" w:rsidR="00BF4173" w:rsidRPr="00012FC0" w:rsidRDefault="00BF4173" w:rsidP="00BF4173">
            <w:pPr>
              <w:jc w:val="right"/>
              <w:rPr>
                <w:rFonts w:ascii="Verdana" w:hAnsi="Verdana"/>
                <w:sz w:val="20"/>
                <w:szCs w:val="20"/>
              </w:rPr>
            </w:pPr>
            <w:r w:rsidRPr="00012FC0">
              <w:rPr>
                <w:rFonts w:ascii="Verdana" w:hAnsi="Verdana"/>
                <w:sz w:val="20"/>
                <w:szCs w:val="20"/>
              </w:rPr>
              <w:t>€ 77.12</w:t>
            </w:r>
            <w:r>
              <w:rPr>
                <w:rFonts w:ascii="Verdana" w:hAnsi="Verdana"/>
                <w:sz w:val="20"/>
                <w:szCs w:val="20"/>
              </w:rPr>
              <w:t>7</w:t>
            </w:r>
          </w:p>
        </w:tc>
      </w:tr>
      <w:tr w:rsidR="00BF4173" w:rsidRPr="00012FC0" w14:paraId="1FD56010" w14:textId="77777777" w:rsidTr="00BF4173">
        <w:trPr>
          <w:trHeight w:val="264"/>
        </w:trPr>
        <w:tc>
          <w:tcPr>
            <w:tcW w:w="2972" w:type="dxa"/>
          </w:tcPr>
          <w:p w14:paraId="101F8760" w14:textId="77777777" w:rsidR="00BF4173" w:rsidRPr="008131B2" w:rsidRDefault="00BF4173" w:rsidP="00BF4173">
            <w:pPr>
              <w:jc w:val="both"/>
              <w:rPr>
                <w:rFonts w:ascii="Verdana" w:hAnsi="Verdana"/>
                <w:sz w:val="20"/>
                <w:szCs w:val="20"/>
              </w:rPr>
            </w:pPr>
            <w:r w:rsidRPr="008131B2">
              <w:rPr>
                <w:rFonts w:ascii="Verdana" w:hAnsi="Verdana"/>
                <w:sz w:val="20"/>
                <w:szCs w:val="20"/>
              </w:rPr>
              <w:t>2018</w:t>
            </w:r>
          </w:p>
        </w:tc>
        <w:tc>
          <w:tcPr>
            <w:tcW w:w="2410" w:type="dxa"/>
          </w:tcPr>
          <w:p w14:paraId="2499155D" w14:textId="77777777" w:rsidR="00BF4173" w:rsidRPr="00012FC0" w:rsidRDefault="00BF4173" w:rsidP="00BF4173">
            <w:pPr>
              <w:jc w:val="right"/>
              <w:rPr>
                <w:rFonts w:ascii="Verdana" w:hAnsi="Verdana"/>
                <w:sz w:val="20"/>
                <w:szCs w:val="20"/>
              </w:rPr>
            </w:pPr>
            <w:r w:rsidRPr="00012FC0">
              <w:rPr>
                <w:rFonts w:ascii="Verdana" w:hAnsi="Verdana"/>
                <w:sz w:val="20"/>
                <w:szCs w:val="20"/>
              </w:rPr>
              <w:t>€ 43.85</w:t>
            </w:r>
            <w:r>
              <w:rPr>
                <w:rFonts w:ascii="Verdana" w:hAnsi="Verdana"/>
                <w:sz w:val="20"/>
                <w:szCs w:val="20"/>
              </w:rPr>
              <w:t>9</w:t>
            </w:r>
          </w:p>
        </w:tc>
      </w:tr>
      <w:tr w:rsidR="00BF4173" w:rsidRPr="00012FC0" w14:paraId="417D2423" w14:textId="77777777" w:rsidTr="00BF4173">
        <w:trPr>
          <w:trHeight w:val="264"/>
        </w:trPr>
        <w:tc>
          <w:tcPr>
            <w:tcW w:w="2972" w:type="dxa"/>
          </w:tcPr>
          <w:p w14:paraId="57D30008" w14:textId="77777777" w:rsidR="00BF4173" w:rsidRPr="008131B2" w:rsidRDefault="00BF4173" w:rsidP="00BF4173">
            <w:pPr>
              <w:jc w:val="both"/>
              <w:rPr>
                <w:rFonts w:ascii="Verdana" w:hAnsi="Verdana"/>
                <w:sz w:val="20"/>
                <w:szCs w:val="20"/>
              </w:rPr>
            </w:pPr>
            <w:r w:rsidRPr="008131B2">
              <w:rPr>
                <w:rFonts w:ascii="Verdana" w:hAnsi="Verdana"/>
                <w:sz w:val="20"/>
                <w:szCs w:val="20"/>
              </w:rPr>
              <w:t>2019</w:t>
            </w:r>
          </w:p>
        </w:tc>
        <w:tc>
          <w:tcPr>
            <w:tcW w:w="2410" w:type="dxa"/>
          </w:tcPr>
          <w:p w14:paraId="54B511EA" w14:textId="77777777" w:rsidR="00BF4173" w:rsidRPr="00012FC0" w:rsidRDefault="00BF4173" w:rsidP="00BF4173">
            <w:pPr>
              <w:jc w:val="right"/>
              <w:rPr>
                <w:rFonts w:ascii="Verdana" w:hAnsi="Verdana"/>
                <w:sz w:val="20"/>
                <w:szCs w:val="20"/>
              </w:rPr>
            </w:pPr>
            <w:r w:rsidRPr="00012FC0">
              <w:rPr>
                <w:rFonts w:ascii="Verdana" w:hAnsi="Verdana"/>
                <w:sz w:val="20"/>
                <w:szCs w:val="20"/>
              </w:rPr>
              <w:t>€ 60.944</w:t>
            </w:r>
          </w:p>
        </w:tc>
      </w:tr>
      <w:tr w:rsidR="00BF4173" w:rsidRPr="00012FC0" w14:paraId="48FE9C2B" w14:textId="77777777" w:rsidTr="00BF4173">
        <w:trPr>
          <w:trHeight w:val="264"/>
        </w:trPr>
        <w:tc>
          <w:tcPr>
            <w:tcW w:w="2972" w:type="dxa"/>
          </w:tcPr>
          <w:p w14:paraId="78E01C4B" w14:textId="77777777" w:rsidR="00BF4173" w:rsidRPr="008131B2" w:rsidRDefault="00BF4173" w:rsidP="00BF4173">
            <w:pPr>
              <w:jc w:val="both"/>
              <w:rPr>
                <w:rFonts w:ascii="Verdana" w:hAnsi="Verdana"/>
                <w:sz w:val="20"/>
                <w:szCs w:val="20"/>
              </w:rPr>
            </w:pPr>
            <w:r w:rsidRPr="008131B2">
              <w:rPr>
                <w:rFonts w:ascii="Verdana" w:hAnsi="Verdana"/>
                <w:sz w:val="20"/>
                <w:szCs w:val="20"/>
              </w:rPr>
              <w:t>2020</w:t>
            </w:r>
          </w:p>
        </w:tc>
        <w:tc>
          <w:tcPr>
            <w:tcW w:w="2410" w:type="dxa"/>
          </w:tcPr>
          <w:p w14:paraId="48AA5152" w14:textId="77777777" w:rsidR="00BF4173" w:rsidRPr="00012FC0" w:rsidRDefault="00BF4173" w:rsidP="00BF4173">
            <w:pPr>
              <w:jc w:val="right"/>
              <w:rPr>
                <w:rFonts w:ascii="Verdana" w:hAnsi="Verdana"/>
                <w:sz w:val="20"/>
                <w:szCs w:val="20"/>
              </w:rPr>
            </w:pPr>
            <w:r w:rsidRPr="00012FC0">
              <w:rPr>
                <w:rFonts w:ascii="Verdana" w:hAnsi="Verdana"/>
                <w:sz w:val="20"/>
                <w:szCs w:val="20"/>
              </w:rPr>
              <w:t>€ 193.693</w:t>
            </w:r>
          </w:p>
        </w:tc>
      </w:tr>
      <w:tr w:rsidR="00BF4173" w:rsidRPr="00012FC0" w14:paraId="60BF15F8" w14:textId="77777777" w:rsidTr="00BF4173">
        <w:trPr>
          <w:trHeight w:val="264"/>
        </w:trPr>
        <w:tc>
          <w:tcPr>
            <w:tcW w:w="2972" w:type="dxa"/>
          </w:tcPr>
          <w:p w14:paraId="6AB9EE3E" w14:textId="77777777" w:rsidR="00BF4173" w:rsidRPr="008131B2" w:rsidRDefault="00BF4173" w:rsidP="00BF4173">
            <w:pPr>
              <w:jc w:val="both"/>
              <w:rPr>
                <w:rFonts w:ascii="Verdana" w:hAnsi="Verdana"/>
                <w:sz w:val="20"/>
                <w:szCs w:val="20"/>
              </w:rPr>
            </w:pPr>
            <w:r w:rsidRPr="008131B2">
              <w:rPr>
                <w:rFonts w:ascii="Verdana" w:hAnsi="Verdana"/>
                <w:sz w:val="20"/>
                <w:szCs w:val="20"/>
              </w:rPr>
              <w:t>2021</w:t>
            </w:r>
          </w:p>
        </w:tc>
        <w:tc>
          <w:tcPr>
            <w:tcW w:w="2410" w:type="dxa"/>
          </w:tcPr>
          <w:p w14:paraId="79F5AB71" w14:textId="77777777" w:rsidR="00BF4173" w:rsidRPr="00012FC0" w:rsidRDefault="00BF4173" w:rsidP="00BF4173">
            <w:pPr>
              <w:jc w:val="right"/>
              <w:rPr>
                <w:rFonts w:ascii="Verdana" w:hAnsi="Verdana"/>
                <w:sz w:val="20"/>
                <w:szCs w:val="20"/>
              </w:rPr>
            </w:pPr>
            <w:r w:rsidRPr="00012FC0">
              <w:rPr>
                <w:rFonts w:ascii="Verdana" w:hAnsi="Verdana"/>
                <w:sz w:val="20"/>
                <w:szCs w:val="20"/>
              </w:rPr>
              <w:t>€ 2.548.55</w:t>
            </w:r>
            <w:r>
              <w:rPr>
                <w:rFonts w:ascii="Verdana" w:hAnsi="Verdana"/>
                <w:sz w:val="20"/>
                <w:szCs w:val="20"/>
              </w:rPr>
              <w:t>1</w:t>
            </w:r>
          </w:p>
        </w:tc>
      </w:tr>
      <w:tr w:rsidR="00BF4173" w:rsidRPr="00012FC0" w14:paraId="78DF6388" w14:textId="77777777" w:rsidTr="00BF4173">
        <w:trPr>
          <w:trHeight w:val="264"/>
        </w:trPr>
        <w:tc>
          <w:tcPr>
            <w:tcW w:w="2972" w:type="dxa"/>
            <w:shd w:val="clear" w:color="auto" w:fill="D9D9D9" w:themeFill="background1" w:themeFillShade="D9"/>
          </w:tcPr>
          <w:p w14:paraId="1DBAB81E" w14:textId="77777777" w:rsidR="00BF4173" w:rsidRPr="008131B2" w:rsidRDefault="00BF4173" w:rsidP="00BF4173">
            <w:pPr>
              <w:jc w:val="both"/>
              <w:rPr>
                <w:rFonts w:ascii="Verdana" w:hAnsi="Verdana"/>
                <w:b/>
                <w:bCs/>
                <w:sz w:val="20"/>
                <w:szCs w:val="20"/>
              </w:rPr>
            </w:pPr>
            <w:r w:rsidRPr="008131B2">
              <w:rPr>
                <w:rFonts w:ascii="Verdana" w:hAnsi="Verdana"/>
                <w:b/>
                <w:bCs/>
                <w:sz w:val="20"/>
                <w:szCs w:val="20"/>
              </w:rPr>
              <w:t>Totaal</w:t>
            </w:r>
          </w:p>
        </w:tc>
        <w:tc>
          <w:tcPr>
            <w:tcW w:w="2410" w:type="dxa"/>
            <w:shd w:val="clear" w:color="auto" w:fill="D9D9D9" w:themeFill="background1" w:themeFillShade="D9"/>
          </w:tcPr>
          <w:p w14:paraId="1F361564" w14:textId="77777777" w:rsidR="00BF4173" w:rsidRPr="00012FC0" w:rsidRDefault="00BF4173" w:rsidP="00BF4173">
            <w:pPr>
              <w:jc w:val="right"/>
              <w:rPr>
                <w:rFonts w:ascii="Verdana" w:hAnsi="Verdana"/>
                <w:b/>
                <w:bCs/>
                <w:sz w:val="20"/>
                <w:szCs w:val="20"/>
              </w:rPr>
            </w:pPr>
            <w:r w:rsidRPr="00012FC0">
              <w:rPr>
                <w:rFonts w:ascii="Verdana" w:hAnsi="Verdana"/>
                <w:b/>
                <w:bCs/>
                <w:sz w:val="20"/>
                <w:szCs w:val="20"/>
              </w:rPr>
              <w:t>€ 2.977.00</w:t>
            </w:r>
            <w:r>
              <w:rPr>
                <w:rFonts w:ascii="Verdana" w:hAnsi="Verdana"/>
                <w:b/>
                <w:bCs/>
                <w:sz w:val="20"/>
                <w:szCs w:val="20"/>
              </w:rPr>
              <w:t>7</w:t>
            </w:r>
          </w:p>
        </w:tc>
      </w:tr>
    </w:tbl>
    <w:p w14:paraId="2CFA602E" w14:textId="77777777" w:rsidR="00BF4173" w:rsidRDefault="00BF4173" w:rsidP="00BF4173">
      <w:pPr>
        <w:pStyle w:val="Lijstalinea"/>
        <w:ind w:left="360"/>
        <w:jc w:val="both"/>
        <w:rPr>
          <w:rFonts w:ascii="Verdana" w:hAnsi="Verdana"/>
          <w:sz w:val="20"/>
          <w:szCs w:val="20"/>
        </w:rPr>
      </w:pPr>
    </w:p>
    <w:p w14:paraId="1C487D49" w14:textId="77777777" w:rsidR="00BF4173" w:rsidRDefault="00BF4173" w:rsidP="00BF4173">
      <w:pPr>
        <w:pStyle w:val="Lijstalinea"/>
        <w:ind w:left="360"/>
        <w:jc w:val="both"/>
        <w:rPr>
          <w:rFonts w:ascii="Verdana" w:hAnsi="Verdana"/>
          <w:sz w:val="20"/>
          <w:szCs w:val="20"/>
        </w:rPr>
      </w:pPr>
    </w:p>
    <w:p w14:paraId="23FB1251" w14:textId="77777777" w:rsidR="00BF4173" w:rsidRDefault="00BF4173" w:rsidP="00BF4173">
      <w:pPr>
        <w:pStyle w:val="Lijstalinea"/>
        <w:ind w:left="360"/>
        <w:jc w:val="both"/>
        <w:rPr>
          <w:rFonts w:ascii="Verdana" w:hAnsi="Verdana"/>
          <w:sz w:val="20"/>
          <w:szCs w:val="20"/>
        </w:rPr>
      </w:pPr>
    </w:p>
    <w:p w14:paraId="71FA7B20" w14:textId="77777777" w:rsidR="00BF4173" w:rsidRDefault="00BF4173" w:rsidP="00BF4173">
      <w:pPr>
        <w:pStyle w:val="Lijstalinea"/>
        <w:ind w:left="360"/>
        <w:jc w:val="both"/>
        <w:rPr>
          <w:rFonts w:ascii="Verdana" w:hAnsi="Verdana"/>
          <w:sz w:val="20"/>
          <w:szCs w:val="20"/>
        </w:rPr>
      </w:pPr>
    </w:p>
    <w:p w14:paraId="31526254" w14:textId="77777777" w:rsidR="00BF4173" w:rsidRPr="00012FC0" w:rsidRDefault="00BF4173" w:rsidP="00BF4173">
      <w:pPr>
        <w:pStyle w:val="Lijstalinea"/>
        <w:ind w:left="360"/>
        <w:jc w:val="both"/>
        <w:rPr>
          <w:rFonts w:ascii="Verdana" w:hAnsi="Verdana"/>
          <w:sz w:val="20"/>
          <w:szCs w:val="20"/>
        </w:rPr>
      </w:pPr>
    </w:p>
    <w:p w14:paraId="4092F2FA" w14:textId="77777777" w:rsidR="00BF4173" w:rsidRDefault="00BF4173" w:rsidP="00BF4173">
      <w:pPr>
        <w:pStyle w:val="Lijstalinea"/>
        <w:jc w:val="both"/>
        <w:rPr>
          <w:szCs w:val="22"/>
        </w:rPr>
      </w:pPr>
    </w:p>
    <w:p w14:paraId="60803F14" w14:textId="77777777" w:rsidR="00BF4173" w:rsidRDefault="00BF4173" w:rsidP="00BF4173">
      <w:pPr>
        <w:pStyle w:val="Lijstalinea"/>
        <w:jc w:val="both"/>
        <w:rPr>
          <w:szCs w:val="22"/>
        </w:rPr>
      </w:pPr>
    </w:p>
    <w:p w14:paraId="3300CF70" w14:textId="77777777" w:rsidR="00BF4173" w:rsidRDefault="00BF4173" w:rsidP="00BF4173">
      <w:pPr>
        <w:pStyle w:val="Lijstalinea"/>
        <w:jc w:val="both"/>
        <w:rPr>
          <w:szCs w:val="22"/>
        </w:rPr>
      </w:pPr>
    </w:p>
    <w:p w14:paraId="4122C81D" w14:textId="77777777" w:rsidR="00BF4173" w:rsidRDefault="00BF4173" w:rsidP="00BF4173">
      <w:pPr>
        <w:pStyle w:val="Lijstalinea"/>
        <w:jc w:val="both"/>
        <w:rPr>
          <w:rFonts w:ascii="Verdana" w:hAnsi="Verdana"/>
          <w:sz w:val="20"/>
          <w:szCs w:val="20"/>
        </w:rPr>
      </w:pPr>
    </w:p>
    <w:p w14:paraId="6E63E4DD" w14:textId="77777777" w:rsidR="00BF4173" w:rsidRDefault="00BF4173" w:rsidP="00BF4173">
      <w:pPr>
        <w:pStyle w:val="Lijstalinea"/>
        <w:jc w:val="both"/>
        <w:rPr>
          <w:rFonts w:ascii="Verdana" w:hAnsi="Verdana"/>
          <w:sz w:val="20"/>
          <w:szCs w:val="20"/>
        </w:rPr>
      </w:pPr>
    </w:p>
    <w:p w14:paraId="094FD472" w14:textId="77777777" w:rsidR="00BF4173" w:rsidRPr="00012FC0" w:rsidRDefault="00BF4173" w:rsidP="00BF4173">
      <w:pPr>
        <w:pStyle w:val="Lijstalinea"/>
        <w:jc w:val="both"/>
        <w:rPr>
          <w:rFonts w:ascii="Verdana" w:hAnsi="Verdana"/>
          <w:sz w:val="20"/>
          <w:szCs w:val="20"/>
        </w:rPr>
      </w:pPr>
    </w:p>
    <w:p w14:paraId="5695CB17" w14:textId="105DCF67" w:rsidR="00BF4173" w:rsidRPr="00012FC0" w:rsidRDefault="00D229F2" w:rsidP="00D229F2">
      <w:pPr>
        <w:ind w:left="426" w:hanging="426"/>
        <w:jc w:val="both"/>
        <w:rPr>
          <w:rFonts w:ascii="Verdana" w:hAnsi="Verdana"/>
          <w:sz w:val="20"/>
          <w:szCs w:val="20"/>
        </w:rPr>
      </w:pPr>
      <w:r>
        <w:rPr>
          <w:rFonts w:ascii="Verdana" w:hAnsi="Verdana"/>
          <w:sz w:val="20"/>
          <w:szCs w:val="20"/>
        </w:rPr>
        <w:t>3-</w:t>
      </w:r>
      <w:r w:rsidR="00BF4173">
        <w:rPr>
          <w:rFonts w:ascii="Verdana" w:hAnsi="Verdana"/>
          <w:sz w:val="20"/>
          <w:szCs w:val="20"/>
        </w:rPr>
        <w:t>4.</w:t>
      </w:r>
      <w:r>
        <w:rPr>
          <w:rFonts w:ascii="Verdana" w:hAnsi="Verdana"/>
          <w:sz w:val="20"/>
          <w:szCs w:val="20"/>
        </w:rPr>
        <w:tab/>
      </w:r>
      <w:r w:rsidR="00BF4173" w:rsidRPr="00012FC0">
        <w:rPr>
          <w:rFonts w:ascii="Verdana" w:hAnsi="Verdana"/>
          <w:sz w:val="20"/>
          <w:szCs w:val="20"/>
        </w:rPr>
        <w:t>In bijlage vindt u een overzicht van het totaalbedrag aan boetes met daarbij een opdeling per nationaliteit, waarbij de nationaliteit wordt bepaald door het kenteken van het voertuig. Per nationaliteit wordt het te betalen bedrag, het openstaand bedrag en het betaald bedrag weer</w:t>
      </w:r>
      <w:r w:rsidR="00766434">
        <w:rPr>
          <w:rFonts w:ascii="Verdana" w:hAnsi="Verdana"/>
          <w:sz w:val="20"/>
          <w:szCs w:val="20"/>
        </w:rPr>
        <w:t>ge</w:t>
      </w:r>
      <w:r w:rsidR="00BF4173" w:rsidRPr="00012FC0">
        <w:rPr>
          <w:rFonts w:ascii="Verdana" w:hAnsi="Verdana"/>
          <w:sz w:val="20"/>
          <w:szCs w:val="20"/>
        </w:rPr>
        <w:t xml:space="preserve">geven, alsook het inningspercentage. Het jaartal duidt het jaar van de overtreding aan. Het is evenwel van belang om te benadrukken dat het gaat om absolute cijfers die in verhouding moeten worden gezien tot het gebruik van de Vlaamse </w:t>
      </w:r>
      <w:proofErr w:type="spellStart"/>
      <w:r w:rsidR="00BF4173" w:rsidRPr="00012FC0">
        <w:rPr>
          <w:rFonts w:ascii="Verdana" w:hAnsi="Verdana"/>
          <w:sz w:val="20"/>
          <w:szCs w:val="20"/>
        </w:rPr>
        <w:t>betolde</w:t>
      </w:r>
      <w:proofErr w:type="spellEnd"/>
      <w:r w:rsidR="00BF4173" w:rsidRPr="00012FC0">
        <w:rPr>
          <w:rFonts w:ascii="Verdana" w:hAnsi="Verdana"/>
          <w:sz w:val="20"/>
          <w:szCs w:val="20"/>
        </w:rPr>
        <w:t xml:space="preserve"> wegen. Bij nationaliteiten die er het meest gebruik van maken volgt logischerwijze dat zij ook de hoogste bedragen aan boetes genereren.</w:t>
      </w:r>
    </w:p>
    <w:p w14:paraId="4B9D1B9A" w14:textId="413F93FA" w:rsidR="00BF4173" w:rsidRDefault="00360AE0" w:rsidP="00D229F2">
      <w:pPr>
        <w:ind w:left="426"/>
        <w:jc w:val="both"/>
        <w:rPr>
          <w:rFonts w:ascii="Verdana" w:hAnsi="Verdana"/>
          <w:sz w:val="20"/>
          <w:szCs w:val="20"/>
        </w:rPr>
      </w:pPr>
      <w:r w:rsidRPr="00360AE0">
        <w:rPr>
          <w:rFonts w:ascii="Verdana" w:hAnsi="Verdana"/>
          <w:sz w:val="20"/>
          <w:szCs w:val="20"/>
        </w:rPr>
        <w:t>Uit de gegevens blijkt dat wel degelijk wordt ingezet op het invorderen van boetes, ook voor buitenlandse vrachtwagens. Bij de Nederlandse voertuigen ligt het inningspercentage op het niveau van de Belgische voertuigen.</w:t>
      </w:r>
    </w:p>
    <w:p w14:paraId="215152CD" w14:textId="77777777" w:rsidR="00360AE0" w:rsidRDefault="00360AE0" w:rsidP="00D229F2">
      <w:pPr>
        <w:ind w:left="426"/>
        <w:jc w:val="both"/>
        <w:rPr>
          <w:rFonts w:ascii="Verdana" w:hAnsi="Verdana"/>
          <w:sz w:val="20"/>
          <w:szCs w:val="20"/>
        </w:rPr>
      </w:pPr>
    </w:p>
    <w:p w14:paraId="6538D283" w14:textId="21825DB3" w:rsidR="00BF4173" w:rsidRPr="00D63CA5" w:rsidRDefault="00BF4173" w:rsidP="00D229F2">
      <w:pPr>
        <w:ind w:left="426"/>
        <w:jc w:val="both"/>
        <w:rPr>
          <w:rFonts w:ascii="Verdana" w:hAnsi="Verdana"/>
          <w:sz w:val="20"/>
          <w:szCs w:val="20"/>
        </w:rPr>
      </w:pPr>
      <w:r w:rsidRPr="00012FC0">
        <w:rPr>
          <w:rFonts w:ascii="Verdana" w:hAnsi="Verdana"/>
          <w:sz w:val="20"/>
          <w:szCs w:val="20"/>
        </w:rPr>
        <w:t>Dit is de stand van zaken op 1</w:t>
      </w:r>
      <w:r>
        <w:rPr>
          <w:rFonts w:ascii="Verdana" w:hAnsi="Verdana"/>
          <w:sz w:val="20"/>
          <w:szCs w:val="20"/>
        </w:rPr>
        <w:t>9</w:t>
      </w:r>
      <w:r w:rsidRPr="00012FC0">
        <w:rPr>
          <w:rFonts w:ascii="Verdana" w:hAnsi="Verdana"/>
          <w:sz w:val="20"/>
          <w:szCs w:val="20"/>
        </w:rPr>
        <w:t xml:space="preserve"> januari 202</w:t>
      </w:r>
      <w:r>
        <w:rPr>
          <w:rFonts w:ascii="Verdana" w:hAnsi="Verdana"/>
          <w:sz w:val="20"/>
          <w:szCs w:val="20"/>
        </w:rPr>
        <w:t>3</w:t>
      </w:r>
      <w:r w:rsidRPr="00012FC0">
        <w:rPr>
          <w:rFonts w:ascii="Verdana" w:hAnsi="Verdana"/>
          <w:sz w:val="20"/>
          <w:szCs w:val="20"/>
        </w:rPr>
        <w:t xml:space="preserve">. Voor de boetes die minder dan twee maand geleden werden uitgeschreven is de betaaltermijn uiteraard nog niet </w:t>
      </w:r>
      <w:r w:rsidRPr="00D63CA5">
        <w:rPr>
          <w:rFonts w:ascii="Verdana" w:hAnsi="Verdana"/>
          <w:sz w:val="20"/>
          <w:szCs w:val="20"/>
        </w:rPr>
        <w:t>overschreden. Voor niet-betaalde boetes kan ook de invorderingsprocedure nog lopen. Men dient hier rekening mee te houden bij de interpretatie van het inningspercentage.</w:t>
      </w:r>
    </w:p>
    <w:p w14:paraId="4FF0D730" w14:textId="77777777" w:rsidR="00BF4173" w:rsidRPr="00D63CA5" w:rsidRDefault="00BF4173" w:rsidP="00BF4173">
      <w:pPr>
        <w:ind w:left="284"/>
        <w:jc w:val="both"/>
        <w:rPr>
          <w:rFonts w:ascii="Verdana" w:hAnsi="Verdana"/>
          <w:sz w:val="20"/>
          <w:szCs w:val="20"/>
        </w:rPr>
      </w:pPr>
    </w:p>
    <w:p w14:paraId="657C1FFB" w14:textId="5E420775" w:rsidR="00BF4173" w:rsidRPr="00B642CF" w:rsidRDefault="00BF4173" w:rsidP="00BF4173">
      <w:pPr>
        <w:numPr>
          <w:ilvl w:val="0"/>
          <w:numId w:val="15"/>
        </w:numPr>
        <w:ind w:left="284" w:hanging="284"/>
        <w:jc w:val="both"/>
        <w:rPr>
          <w:rFonts w:ascii="Verdana" w:hAnsi="Verdana"/>
          <w:sz w:val="20"/>
          <w:szCs w:val="20"/>
        </w:rPr>
      </w:pPr>
      <w:r w:rsidRPr="008131B2">
        <w:rPr>
          <w:rFonts w:ascii="Verdana" w:hAnsi="Verdana"/>
          <w:sz w:val="20"/>
          <w:szCs w:val="20"/>
        </w:rPr>
        <w:t xml:space="preserve">In 2022 werden er in het kader van de </w:t>
      </w:r>
      <w:r>
        <w:rPr>
          <w:rFonts w:ascii="Verdana" w:hAnsi="Verdana"/>
          <w:sz w:val="20"/>
          <w:szCs w:val="20"/>
        </w:rPr>
        <w:t>kilometerheffing</w:t>
      </w:r>
      <w:r w:rsidRPr="008131B2">
        <w:rPr>
          <w:rFonts w:ascii="Verdana" w:hAnsi="Verdana"/>
          <w:sz w:val="20"/>
          <w:szCs w:val="20"/>
        </w:rPr>
        <w:t xml:space="preserve"> 6 buitenlandse voertuigen en 5 Belgische voertuigen getakeld.</w:t>
      </w:r>
      <w:r>
        <w:rPr>
          <w:rFonts w:ascii="Verdana" w:hAnsi="Verdana"/>
          <w:sz w:val="20"/>
          <w:szCs w:val="20"/>
        </w:rPr>
        <w:t xml:space="preserve"> 327 Belgische en 1083 buitenlandse voertuigen werden aangehaald. Hierbij werd 1.335.159 euro aan boetes geïnd (318.023 euro voor Belgische voertuigen en 1.017.136 euro voor buitenlandse voertuigen).</w:t>
      </w:r>
    </w:p>
    <w:p w14:paraId="65E3CE54" w14:textId="77777777" w:rsidR="00BF4173" w:rsidRPr="003107FA" w:rsidRDefault="00BF4173" w:rsidP="00BF4173">
      <w:pPr>
        <w:ind w:left="284"/>
        <w:jc w:val="both"/>
        <w:rPr>
          <w:rFonts w:ascii="Verdana" w:hAnsi="Verdana"/>
          <w:sz w:val="20"/>
          <w:szCs w:val="20"/>
        </w:rPr>
      </w:pPr>
    </w:p>
    <w:p w14:paraId="6F6F46CD" w14:textId="110CA983" w:rsidR="00BF4173" w:rsidRPr="00B642CF" w:rsidRDefault="00BF4173" w:rsidP="00BF4173">
      <w:pPr>
        <w:numPr>
          <w:ilvl w:val="0"/>
          <w:numId w:val="15"/>
        </w:numPr>
        <w:ind w:left="284" w:hanging="284"/>
        <w:jc w:val="both"/>
        <w:rPr>
          <w:rFonts w:ascii="Verdana" w:hAnsi="Verdana"/>
          <w:sz w:val="20"/>
          <w:szCs w:val="20"/>
        </w:rPr>
      </w:pPr>
      <w:r w:rsidRPr="00B642CF">
        <w:rPr>
          <w:rFonts w:ascii="Verdana" w:hAnsi="Verdana"/>
          <w:sz w:val="20"/>
          <w:szCs w:val="20"/>
        </w:rPr>
        <w:t xml:space="preserve">De </w:t>
      </w:r>
      <w:r w:rsidRPr="002044E1">
        <w:rPr>
          <w:rFonts w:ascii="Verdana" w:hAnsi="Verdana"/>
          <w:sz w:val="20"/>
          <w:szCs w:val="20"/>
        </w:rPr>
        <w:t>Dienst voor Inschrijvingen van Voertuigen (</w:t>
      </w:r>
      <w:r w:rsidRPr="00B642CF">
        <w:rPr>
          <w:rFonts w:ascii="Verdana" w:hAnsi="Verdana"/>
          <w:sz w:val="20"/>
          <w:szCs w:val="20"/>
        </w:rPr>
        <w:t>DIV) heeft de voertuiggegevens van andere lidstaten nog niet ontsloten waardoor de Vlaamse Belastingdienst hier nog geen gebruik van kan maken (zie ook vraag 8). Voor het versturen van de boetes maakt de Vlaamse Belastingdienst op dit ogenblik dus voor Belgische overtreders</w:t>
      </w:r>
      <w:r w:rsidRPr="00B642CF" w:rsidDel="002044E1">
        <w:rPr>
          <w:rFonts w:ascii="Verdana" w:hAnsi="Verdana"/>
          <w:sz w:val="20"/>
          <w:szCs w:val="20"/>
        </w:rPr>
        <w:t xml:space="preserve"> </w:t>
      </w:r>
      <w:r w:rsidRPr="00B642CF">
        <w:rPr>
          <w:rFonts w:ascii="Verdana" w:hAnsi="Verdana"/>
          <w:sz w:val="20"/>
          <w:szCs w:val="20"/>
        </w:rPr>
        <w:t>gebruik van de gegevens van de DIV, voor Nederlandse overtreders van gegevens van de RDW en voor de overtredingen begaan door een</w:t>
      </w:r>
      <w:r w:rsidR="000E040D">
        <w:rPr>
          <w:rFonts w:ascii="Verdana" w:hAnsi="Verdana"/>
          <w:sz w:val="20"/>
          <w:szCs w:val="20"/>
        </w:rPr>
        <w:t xml:space="preserve"> andere</w:t>
      </w:r>
      <w:r w:rsidRPr="00B642CF">
        <w:rPr>
          <w:rFonts w:ascii="Verdana" w:hAnsi="Verdana"/>
          <w:sz w:val="20"/>
          <w:szCs w:val="20"/>
        </w:rPr>
        <w:t xml:space="preserve"> buitenlander van de gegevens die via de dienstverlener te verkrijgen zijn.</w:t>
      </w:r>
    </w:p>
    <w:p w14:paraId="3CA761CA" w14:textId="77777777" w:rsidR="00383C4E" w:rsidRPr="00B642CF" w:rsidRDefault="00383C4E" w:rsidP="000E040D">
      <w:pPr>
        <w:ind w:left="284"/>
        <w:jc w:val="both"/>
        <w:rPr>
          <w:rFonts w:ascii="Verdana" w:hAnsi="Verdana"/>
          <w:sz w:val="20"/>
          <w:szCs w:val="20"/>
        </w:rPr>
      </w:pPr>
    </w:p>
    <w:p w14:paraId="55AF74AB" w14:textId="77777777" w:rsidR="00BF4173" w:rsidRPr="00B642CF" w:rsidRDefault="00BF4173" w:rsidP="00BF4173">
      <w:pPr>
        <w:numPr>
          <w:ilvl w:val="0"/>
          <w:numId w:val="15"/>
        </w:numPr>
        <w:ind w:left="284" w:hanging="284"/>
        <w:jc w:val="both"/>
        <w:rPr>
          <w:rFonts w:ascii="Verdana" w:hAnsi="Verdana"/>
          <w:sz w:val="20"/>
          <w:szCs w:val="20"/>
        </w:rPr>
      </w:pPr>
      <w:r w:rsidRPr="00B642CF">
        <w:rPr>
          <w:rFonts w:ascii="Verdana" w:hAnsi="Verdana"/>
          <w:sz w:val="20"/>
          <w:szCs w:val="20"/>
        </w:rPr>
        <w:t>Het aantal boetes voor buitenlandse vrachtwagens is aanzienlijk hoger dan voor Belgische vrachtwagens omdat er verhoudingsgewijs meer buitenlandse vrachtwagens op de Vlaamse wegen aanwezig zijn. Dit bevestigt de positie van België als een transitland.</w:t>
      </w:r>
    </w:p>
    <w:p w14:paraId="471B9498" w14:textId="77777777" w:rsidR="00BF4173" w:rsidRPr="00456DAF" w:rsidRDefault="00BF4173" w:rsidP="000E040D">
      <w:pPr>
        <w:ind w:left="284"/>
        <w:jc w:val="both"/>
        <w:rPr>
          <w:rFonts w:ascii="Verdana" w:hAnsi="Verdana"/>
          <w:sz w:val="20"/>
          <w:szCs w:val="20"/>
        </w:rPr>
      </w:pPr>
    </w:p>
    <w:p w14:paraId="5E4A7CB0" w14:textId="27652BBC" w:rsidR="00BF4173" w:rsidRPr="00BF4173" w:rsidRDefault="00BF4173" w:rsidP="00CE6CC3">
      <w:pPr>
        <w:numPr>
          <w:ilvl w:val="0"/>
          <w:numId w:val="15"/>
        </w:numPr>
        <w:ind w:left="284" w:hanging="284"/>
        <w:jc w:val="both"/>
        <w:rPr>
          <w:rFonts w:ascii="Verdana" w:hAnsi="Verdana"/>
          <w:sz w:val="20"/>
          <w:szCs w:val="20"/>
        </w:rPr>
      </w:pPr>
      <w:r w:rsidRPr="000E040D">
        <w:rPr>
          <w:rFonts w:ascii="Verdana" w:hAnsi="Verdana"/>
          <w:sz w:val="20"/>
          <w:szCs w:val="20"/>
        </w:rPr>
        <w:t xml:space="preserve">De omzetting van de EETS-richtlijn werd op Vlaams niveau met haar publicatie in het Belgisch Staatsblad op 12 juli 2022 voltooid. Voor de verdere uitwerking van de gegevensuitwisseling tussen de verschillende lidstaten is de Vlaamse Belastingdienst afhankelijk van het Nationaal Contactpunt. </w:t>
      </w:r>
    </w:p>
    <w:p w14:paraId="70C9FBCD" w14:textId="745F3373" w:rsidR="00BF4173" w:rsidRDefault="00BF4173" w:rsidP="000E040D">
      <w:pPr>
        <w:ind w:left="284"/>
        <w:jc w:val="both"/>
        <w:rPr>
          <w:rFonts w:ascii="Verdana" w:hAnsi="Verdana"/>
          <w:sz w:val="20"/>
          <w:szCs w:val="20"/>
        </w:rPr>
      </w:pPr>
    </w:p>
    <w:p w14:paraId="0345A802" w14:textId="77777777" w:rsidR="00D229F2" w:rsidRPr="00BF4173" w:rsidRDefault="00D229F2" w:rsidP="000E040D">
      <w:pPr>
        <w:ind w:left="284"/>
        <w:jc w:val="both"/>
        <w:rPr>
          <w:rFonts w:ascii="Verdana" w:hAnsi="Verdana"/>
          <w:sz w:val="20"/>
          <w:szCs w:val="20"/>
        </w:rPr>
      </w:pPr>
    </w:p>
    <w:p w14:paraId="344747C1" w14:textId="224B177D" w:rsidR="00BA7C49" w:rsidRPr="005A2334" w:rsidRDefault="00BA7C49" w:rsidP="00BA7C49">
      <w:pPr>
        <w:jc w:val="both"/>
        <w:rPr>
          <w:rFonts w:ascii="Verdana" w:hAnsi="Verdana"/>
          <w:b/>
          <w:smallCaps/>
          <w:color w:val="FF0000"/>
          <w:sz w:val="20"/>
          <w:szCs w:val="20"/>
          <w:u w:val="single"/>
        </w:rPr>
      </w:pPr>
      <w:r w:rsidRPr="005A2334">
        <w:rPr>
          <w:rFonts w:ascii="Verdana" w:hAnsi="Verdana"/>
          <w:b/>
          <w:smallCaps/>
          <w:color w:val="FF0000"/>
          <w:sz w:val="20"/>
          <w:szCs w:val="20"/>
          <w:u w:val="single"/>
        </w:rPr>
        <w:t>bijlage</w:t>
      </w:r>
    </w:p>
    <w:p w14:paraId="2D9892E7" w14:textId="77777777" w:rsidR="00BA7C49" w:rsidRDefault="00BA7C49" w:rsidP="00BA7C49">
      <w:pPr>
        <w:jc w:val="both"/>
        <w:rPr>
          <w:rFonts w:ascii="Verdana" w:hAnsi="Verdana"/>
          <w:sz w:val="20"/>
          <w:szCs w:val="20"/>
        </w:rPr>
      </w:pPr>
    </w:p>
    <w:p w14:paraId="51486EF3" w14:textId="0DCC8B57" w:rsidR="00BA7C49" w:rsidRDefault="00BA7C49" w:rsidP="00D229F2">
      <w:pPr>
        <w:jc w:val="both"/>
        <w:rPr>
          <w:rFonts w:ascii="Verdana" w:hAnsi="Verdana"/>
          <w:sz w:val="20"/>
          <w:szCs w:val="20"/>
        </w:rPr>
      </w:pPr>
      <w:r>
        <w:rPr>
          <w:rFonts w:ascii="Verdana" w:hAnsi="Verdana"/>
          <w:sz w:val="20"/>
          <w:szCs w:val="20"/>
        </w:rPr>
        <w:t>Overzicht boetes kilometerheffing per nationaliteit (</w:t>
      </w:r>
      <w:r w:rsidRPr="00012FC0">
        <w:rPr>
          <w:rFonts w:ascii="Verdana" w:hAnsi="Verdana"/>
          <w:sz w:val="20"/>
          <w:szCs w:val="20"/>
        </w:rPr>
        <w:t>te betalen bedrag, openstaand bedrag</w:t>
      </w:r>
      <w:r>
        <w:rPr>
          <w:rFonts w:ascii="Verdana" w:hAnsi="Verdana"/>
          <w:sz w:val="20"/>
          <w:szCs w:val="20"/>
        </w:rPr>
        <w:t>,</w:t>
      </w:r>
      <w:r w:rsidRPr="00012FC0">
        <w:rPr>
          <w:rFonts w:ascii="Verdana" w:hAnsi="Verdana"/>
          <w:sz w:val="20"/>
          <w:szCs w:val="20"/>
        </w:rPr>
        <w:t xml:space="preserve"> betaald bedrag </w:t>
      </w:r>
      <w:r>
        <w:rPr>
          <w:rFonts w:ascii="Verdana" w:hAnsi="Verdana"/>
          <w:sz w:val="20"/>
          <w:szCs w:val="20"/>
        </w:rPr>
        <w:t>en</w:t>
      </w:r>
      <w:r w:rsidRPr="00012FC0">
        <w:rPr>
          <w:rFonts w:ascii="Verdana" w:hAnsi="Verdana"/>
          <w:sz w:val="20"/>
          <w:szCs w:val="20"/>
        </w:rPr>
        <w:t xml:space="preserve"> inningspercentage</w:t>
      </w:r>
      <w:r>
        <w:rPr>
          <w:rFonts w:ascii="Verdana" w:hAnsi="Verdana"/>
          <w:sz w:val="20"/>
          <w:szCs w:val="20"/>
        </w:rPr>
        <w:t>)</w:t>
      </w:r>
    </w:p>
    <w:p w14:paraId="6663686A" w14:textId="77777777" w:rsidR="00BF4173" w:rsidRDefault="00BF4173" w:rsidP="000E040D">
      <w:pPr>
        <w:ind w:left="284"/>
        <w:jc w:val="both"/>
        <w:rPr>
          <w:rFonts w:ascii="Verdana" w:hAnsi="Verdana"/>
          <w:sz w:val="20"/>
          <w:szCs w:val="20"/>
        </w:rPr>
      </w:pPr>
    </w:p>
    <w:sectPr w:rsidR="00BF4173" w:rsidSect="000976E9">
      <w:type w:val="continuous"/>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50E4E" w14:textId="77777777" w:rsidR="00D32921" w:rsidRDefault="00D32921" w:rsidP="004C2DFE">
      <w:r>
        <w:separator/>
      </w:r>
    </w:p>
  </w:endnote>
  <w:endnote w:type="continuationSeparator" w:id="0">
    <w:p w14:paraId="61C79B83" w14:textId="77777777" w:rsidR="00D32921" w:rsidRDefault="00D32921" w:rsidP="004C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07E1F" w14:textId="77777777" w:rsidR="00D32921" w:rsidRDefault="00D32921" w:rsidP="004C2DFE">
      <w:r>
        <w:separator/>
      </w:r>
    </w:p>
  </w:footnote>
  <w:footnote w:type="continuationSeparator" w:id="0">
    <w:p w14:paraId="264D69B0" w14:textId="77777777" w:rsidR="00D32921" w:rsidRDefault="00D32921" w:rsidP="004C2D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E3C"/>
    <w:multiLevelType w:val="hybridMultilevel"/>
    <w:tmpl w:val="BF441BB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 w15:restartNumberingAfterBreak="0">
    <w:nsid w:val="0B376EA0"/>
    <w:multiLevelType w:val="hybridMultilevel"/>
    <w:tmpl w:val="E766EDE6"/>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0DFE7E5C"/>
    <w:multiLevelType w:val="hybridMultilevel"/>
    <w:tmpl w:val="48ECE23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1D9655C"/>
    <w:multiLevelType w:val="hybridMultilevel"/>
    <w:tmpl w:val="66FC5644"/>
    <w:lvl w:ilvl="0" w:tplc="304A0FF4">
      <w:start w:val="1"/>
      <w:numFmt w:val="bullet"/>
      <w:lvlText w:val="-"/>
      <w:lvlJc w:val="left"/>
      <w:pPr>
        <w:ind w:left="1440" w:hanging="360"/>
      </w:pPr>
      <w:rPr>
        <w:rFonts w:ascii="Times New Roman" w:eastAsia="Times New Roman" w:hAnsi="Times New Roman" w:cs="Times New Roman"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15:restartNumberingAfterBreak="0">
    <w:nsid w:val="13752CA7"/>
    <w:multiLevelType w:val="hybridMultilevel"/>
    <w:tmpl w:val="4816EBC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F493254"/>
    <w:multiLevelType w:val="hybridMultilevel"/>
    <w:tmpl w:val="EC82B66C"/>
    <w:lvl w:ilvl="0" w:tplc="3D1A78F2">
      <w:start w:val="5"/>
      <w:numFmt w:val="decimal"/>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0323682"/>
    <w:multiLevelType w:val="multilevel"/>
    <w:tmpl w:val="A76C8642"/>
    <w:lvl w:ilvl="0">
      <w:start w:val="1"/>
      <w:numFmt w:val="decimal"/>
      <w:pStyle w:val="Nummering"/>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70C0675"/>
    <w:multiLevelType w:val="hybridMultilevel"/>
    <w:tmpl w:val="26667C2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3E9A52B4"/>
    <w:multiLevelType w:val="hybridMultilevel"/>
    <w:tmpl w:val="2600357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53A820CC"/>
    <w:multiLevelType w:val="hybridMultilevel"/>
    <w:tmpl w:val="EAD443C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1857B5C"/>
    <w:multiLevelType w:val="multilevel"/>
    <w:tmpl w:val="42948E20"/>
    <w:lvl w:ilvl="0">
      <w:start w:val="1"/>
      <w:numFmt w:val="lowerLetter"/>
      <w:lvlText w:val="%1)"/>
      <w:lvlJc w:val="left"/>
      <w:pPr>
        <w:tabs>
          <w:tab w:val="num" w:pos="757"/>
        </w:tabs>
        <w:ind w:left="757" w:hanging="397"/>
      </w:pPr>
      <w:rPr>
        <w:rFonts w:hint="default"/>
      </w:rPr>
    </w:lvl>
    <w:lvl w:ilvl="1">
      <w:start w:val="1"/>
      <w:numFmt w:val="lowerLetter"/>
      <w:lvlText w:val="%2)"/>
      <w:lvlJc w:val="left"/>
      <w:pPr>
        <w:tabs>
          <w:tab w:val="num" w:pos="1040"/>
        </w:tabs>
        <w:ind w:left="1040" w:hanging="453"/>
      </w:pPr>
      <w:rPr>
        <w:rFonts w:hint="default"/>
      </w:rPr>
    </w:lvl>
    <w:lvl w:ilvl="2">
      <w:start w:val="1"/>
      <w:numFmt w:val="lowerLetter"/>
      <w:lvlText w:val="%3)"/>
      <w:lvlJc w:val="left"/>
      <w:pPr>
        <w:tabs>
          <w:tab w:val="num" w:pos="1324"/>
        </w:tabs>
        <w:ind w:left="1324" w:hanging="510"/>
      </w:pPr>
      <w:rPr>
        <w:rFonts w:hint="default"/>
      </w:rPr>
    </w:lvl>
    <w:lvl w:ilvl="3">
      <w:start w:val="1"/>
      <w:numFmt w:val="lowerLetter"/>
      <w:lvlText w:val="%4)"/>
      <w:lvlJc w:val="left"/>
      <w:pPr>
        <w:tabs>
          <w:tab w:val="num" w:pos="1097"/>
        </w:tabs>
        <w:ind w:left="1664" w:hanging="567"/>
      </w:pPr>
      <w:rPr>
        <w:rFonts w:hint="default"/>
      </w:rPr>
    </w:lvl>
    <w:lvl w:ilvl="4">
      <w:start w:val="1"/>
      <w:numFmt w:val="lowerLetter"/>
      <w:lvlText w:val="%5)"/>
      <w:lvlJc w:val="left"/>
      <w:pPr>
        <w:tabs>
          <w:tab w:val="num" w:pos="1664"/>
        </w:tabs>
        <w:ind w:left="1948" w:hanging="567"/>
      </w:pPr>
      <w:rPr>
        <w:rFonts w:hint="default"/>
      </w:rPr>
    </w:lvl>
    <w:lvl w:ilvl="5">
      <w:start w:val="1"/>
      <w:numFmt w:val="lowerLetter"/>
      <w:lvlText w:val="%6)"/>
      <w:lvlJc w:val="left"/>
      <w:pPr>
        <w:tabs>
          <w:tab w:val="num" w:pos="2118"/>
        </w:tabs>
        <w:ind w:left="2174" w:hanging="510"/>
      </w:pPr>
      <w:rPr>
        <w:rFonts w:hint="default"/>
      </w:rPr>
    </w:lvl>
    <w:lvl w:ilvl="6">
      <w:start w:val="1"/>
      <w:numFmt w:val="lowerLetter"/>
      <w:lvlText w:val="%7)"/>
      <w:lvlJc w:val="left"/>
      <w:pPr>
        <w:tabs>
          <w:tab w:val="num" w:pos="2458"/>
        </w:tabs>
        <w:ind w:left="2515" w:hanging="567"/>
      </w:pPr>
      <w:rPr>
        <w:rFonts w:hint="default"/>
      </w:rPr>
    </w:lvl>
    <w:lvl w:ilvl="7">
      <w:start w:val="1"/>
      <w:numFmt w:val="lowerLetter"/>
      <w:lvlText w:val="%8)"/>
      <w:lvlJc w:val="left"/>
      <w:pPr>
        <w:tabs>
          <w:tab w:val="num" w:pos="2798"/>
        </w:tabs>
        <w:ind w:left="2855" w:hanging="567"/>
      </w:pPr>
      <w:rPr>
        <w:rFonts w:hint="default"/>
      </w:rPr>
    </w:lvl>
    <w:lvl w:ilvl="8">
      <w:start w:val="1"/>
      <w:numFmt w:val="lowerLetter"/>
      <w:lvlText w:val="%9)"/>
      <w:lvlJc w:val="left"/>
      <w:pPr>
        <w:tabs>
          <w:tab w:val="num" w:pos="2968"/>
        </w:tabs>
        <w:ind w:left="3025" w:hanging="454"/>
      </w:pPr>
      <w:rPr>
        <w:rFonts w:hint="default"/>
      </w:rPr>
    </w:lvl>
  </w:abstractNum>
  <w:abstractNum w:abstractNumId="11" w15:restartNumberingAfterBreak="0">
    <w:nsid w:val="74441E04"/>
    <w:multiLevelType w:val="hybridMultilevel"/>
    <w:tmpl w:val="78BA0B0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7A3D3BFF"/>
    <w:multiLevelType w:val="hybridMultilevel"/>
    <w:tmpl w:val="C5CA9288"/>
    <w:lvl w:ilvl="0" w:tplc="0682EF54">
      <w:start w:val="5"/>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16cid:durableId="1512140134">
    <w:abstractNumId w:val="10"/>
  </w:num>
  <w:num w:numId="2" w16cid:durableId="939027065">
    <w:abstractNumId w:val="10"/>
  </w:num>
  <w:num w:numId="3" w16cid:durableId="67464713">
    <w:abstractNumId w:val="2"/>
  </w:num>
  <w:num w:numId="4" w16cid:durableId="553586128">
    <w:abstractNumId w:val="8"/>
  </w:num>
  <w:num w:numId="5" w16cid:durableId="234243841">
    <w:abstractNumId w:val="7"/>
  </w:num>
  <w:num w:numId="6" w16cid:durableId="884801773">
    <w:abstractNumId w:val="4"/>
  </w:num>
  <w:num w:numId="7" w16cid:durableId="1075980452">
    <w:abstractNumId w:val="3"/>
  </w:num>
  <w:num w:numId="8" w16cid:durableId="1184856196">
    <w:abstractNumId w:val="9"/>
  </w:num>
  <w:num w:numId="9" w16cid:durableId="2076590428">
    <w:abstractNumId w:val="11"/>
  </w:num>
  <w:num w:numId="10" w16cid:durableId="50621148">
    <w:abstractNumId w:val="6"/>
  </w:num>
  <w:num w:numId="11" w16cid:durableId="9475910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72286985">
    <w:abstractNumId w:val="1"/>
  </w:num>
  <w:num w:numId="13" w16cid:durableId="1633511945">
    <w:abstractNumId w:val="5"/>
  </w:num>
  <w:num w:numId="14" w16cid:durableId="91049607">
    <w:abstractNumId w:val="0"/>
  </w:num>
  <w:num w:numId="15" w16cid:durableId="14980400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E8C"/>
    <w:rsid w:val="00096762"/>
    <w:rsid w:val="000976E9"/>
    <w:rsid w:val="000C4E8C"/>
    <w:rsid w:val="000E040D"/>
    <w:rsid w:val="000F3532"/>
    <w:rsid w:val="000F697B"/>
    <w:rsid w:val="00137AAE"/>
    <w:rsid w:val="0015479E"/>
    <w:rsid w:val="00193398"/>
    <w:rsid w:val="00210C07"/>
    <w:rsid w:val="00226D54"/>
    <w:rsid w:val="002346BF"/>
    <w:rsid w:val="00244BB1"/>
    <w:rsid w:val="00247626"/>
    <w:rsid w:val="00301372"/>
    <w:rsid w:val="00326A58"/>
    <w:rsid w:val="003461EC"/>
    <w:rsid w:val="00360AE0"/>
    <w:rsid w:val="00377362"/>
    <w:rsid w:val="00377C66"/>
    <w:rsid w:val="00383C4E"/>
    <w:rsid w:val="003A470F"/>
    <w:rsid w:val="003A4C2D"/>
    <w:rsid w:val="003F2A2F"/>
    <w:rsid w:val="003F4337"/>
    <w:rsid w:val="004625B6"/>
    <w:rsid w:val="00484928"/>
    <w:rsid w:val="004C2DFE"/>
    <w:rsid w:val="004F30D4"/>
    <w:rsid w:val="00501A0E"/>
    <w:rsid w:val="0050246F"/>
    <w:rsid w:val="0052633F"/>
    <w:rsid w:val="00532932"/>
    <w:rsid w:val="00550093"/>
    <w:rsid w:val="00556010"/>
    <w:rsid w:val="00560F76"/>
    <w:rsid w:val="0056360C"/>
    <w:rsid w:val="005678AE"/>
    <w:rsid w:val="00571C63"/>
    <w:rsid w:val="0057445D"/>
    <w:rsid w:val="005A2334"/>
    <w:rsid w:val="005D5073"/>
    <w:rsid w:val="005E38CA"/>
    <w:rsid w:val="006563FB"/>
    <w:rsid w:val="0069528B"/>
    <w:rsid w:val="00695AC0"/>
    <w:rsid w:val="0071248C"/>
    <w:rsid w:val="007252C7"/>
    <w:rsid w:val="0075030D"/>
    <w:rsid w:val="00766434"/>
    <w:rsid w:val="007814B8"/>
    <w:rsid w:val="007C07F4"/>
    <w:rsid w:val="008150DC"/>
    <w:rsid w:val="008A11CF"/>
    <w:rsid w:val="008B1B5B"/>
    <w:rsid w:val="008D1BFB"/>
    <w:rsid w:val="008D5DB4"/>
    <w:rsid w:val="00932B48"/>
    <w:rsid w:val="009347E0"/>
    <w:rsid w:val="009845F1"/>
    <w:rsid w:val="009A5CA0"/>
    <w:rsid w:val="009B3E08"/>
    <w:rsid w:val="009D7043"/>
    <w:rsid w:val="00A16D33"/>
    <w:rsid w:val="00A51FBA"/>
    <w:rsid w:val="00A80DD6"/>
    <w:rsid w:val="00AB2C5C"/>
    <w:rsid w:val="00AE4255"/>
    <w:rsid w:val="00AF015F"/>
    <w:rsid w:val="00B45EB2"/>
    <w:rsid w:val="00B65AA3"/>
    <w:rsid w:val="00B66D84"/>
    <w:rsid w:val="00BA7C49"/>
    <w:rsid w:val="00BE425A"/>
    <w:rsid w:val="00BF4173"/>
    <w:rsid w:val="00C318C9"/>
    <w:rsid w:val="00C47A8A"/>
    <w:rsid w:val="00C80CF6"/>
    <w:rsid w:val="00C91441"/>
    <w:rsid w:val="00D02FE6"/>
    <w:rsid w:val="00D229F2"/>
    <w:rsid w:val="00D32921"/>
    <w:rsid w:val="00D71D99"/>
    <w:rsid w:val="00D754F2"/>
    <w:rsid w:val="00DB41C0"/>
    <w:rsid w:val="00DC4DB6"/>
    <w:rsid w:val="00E55200"/>
    <w:rsid w:val="00E85C8D"/>
    <w:rsid w:val="00ED4AD8"/>
    <w:rsid w:val="00F377BC"/>
    <w:rsid w:val="00F453DA"/>
    <w:rsid w:val="00F50C3F"/>
    <w:rsid w:val="00F9434F"/>
    <w:rsid w:val="00FA29D6"/>
    <w:rsid w:val="00FB7BA4"/>
    <w:rsid w:val="00FC79AC"/>
    <w:rsid w:val="00FD5BF4"/>
    <w:rsid w:val="00FE54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0DFBAF"/>
  <w15:docId w15:val="{42A2698F-F6B1-4708-B720-250466ABB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B41C0"/>
    <w:rPr>
      <w:sz w:val="22"/>
      <w:szCs w:val="24"/>
      <w:lang w:val="nl-NL" w:eastAsia="nl-NL"/>
    </w:rPr>
  </w:style>
  <w:style w:type="paragraph" w:styleId="Kop1">
    <w:name w:val="heading 1"/>
    <w:basedOn w:val="Standaard"/>
    <w:next w:val="Standaard"/>
    <w:qFormat/>
    <w:rsid w:val="00FD5BF4"/>
    <w:pPr>
      <w:keepNext/>
      <w:spacing w:before="240" w:after="60"/>
      <w:outlineLvl w:val="0"/>
    </w:pPr>
    <w:rPr>
      <w:rFonts w:ascii="Arial" w:hAnsi="Arial" w:cs="Arial"/>
      <w:b/>
      <w:bCs/>
      <w:kern w:val="32"/>
      <w:sz w:val="32"/>
      <w:szCs w:val="32"/>
    </w:rPr>
  </w:style>
  <w:style w:type="paragraph" w:styleId="Kop2">
    <w:name w:val="heading 2"/>
    <w:basedOn w:val="Standaard"/>
    <w:next w:val="Standaard"/>
    <w:qFormat/>
    <w:rsid w:val="00FD5BF4"/>
    <w:pPr>
      <w:keepNext/>
      <w:spacing w:before="240" w:after="60"/>
      <w:outlineLvl w:val="1"/>
    </w:pPr>
    <w:rPr>
      <w:rFonts w:ascii="Arial" w:hAnsi="Arial" w:cs="Arial"/>
      <w:b/>
      <w:bCs/>
      <w:i/>
      <w:iCs/>
      <w:sz w:val="28"/>
      <w:szCs w:val="28"/>
    </w:rPr>
  </w:style>
  <w:style w:type="paragraph" w:styleId="Kop3">
    <w:name w:val="heading 3"/>
    <w:basedOn w:val="Standaard"/>
    <w:next w:val="Standaard"/>
    <w:qFormat/>
    <w:rsid w:val="00FD5BF4"/>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taKenmerk">
    <w:name w:val="NotaKenmerk"/>
    <w:basedOn w:val="Standaard"/>
    <w:next w:val="Standaard"/>
    <w:rsid w:val="00BE425A"/>
    <w:pPr>
      <w:tabs>
        <w:tab w:val="right" w:pos="2700"/>
        <w:tab w:val="left" w:pos="2880"/>
      </w:tabs>
    </w:pPr>
    <w:rPr>
      <w:i/>
      <w:lang w:val="nl-BE"/>
    </w:rPr>
  </w:style>
  <w:style w:type="paragraph" w:customStyle="1" w:styleId="NotaDirectie">
    <w:name w:val="NotaDirectie"/>
    <w:basedOn w:val="Standaard"/>
    <w:next w:val="Standaard"/>
    <w:rsid w:val="00BE425A"/>
    <w:rPr>
      <w:i/>
      <w:lang w:val="nl-BE"/>
    </w:rPr>
  </w:style>
  <w:style w:type="paragraph" w:customStyle="1" w:styleId="NotaAan">
    <w:name w:val="NotaAan"/>
    <w:basedOn w:val="Standaard"/>
    <w:next w:val="Standaard"/>
    <w:rsid w:val="00BE425A"/>
    <w:rPr>
      <w:b/>
      <w:lang w:val="nl-BE"/>
    </w:rPr>
  </w:style>
  <w:style w:type="paragraph" w:styleId="Voettekst">
    <w:name w:val="footer"/>
    <w:basedOn w:val="Standaard"/>
    <w:next w:val="Standaard"/>
    <w:rsid w:val="00FE5406"/>
    <w:pPr>
      <w:widowControl w:val="0"/>
      <w:tabs>
        <w:tab w:val="center" w:pos="4536"/>
        <w:tab w:val="right" w:pos="9072"/>
      </w:tabs>
      <w:suppressAutoHyphens/>
      <w:spacing w:after="120"/>
      <w:jc w:val="right"/>
    </w:pPr>
    <w:rPr>
      <w:snapToGrid w:val="0"/>
      <w:sz w:val="20"/>
      <w:szCs w:val="20"/>
      <w:lang w:val="en-US"/>
    </w:rPr>
  </w:style>
  <w:style w:type="paragraph" w:customStyle="1" w:styleId="AntwoordNaamMinister">
    <w:name w:val="AntwoordNaamMinister"/>
    <w:basedOn w:val="Standaard"/>
    <w:link w:val="AntwoordNaamMinisterChar"/>
    <w:rsid w:val="00DB41C0"/>
    <w:rPr>
      <w:b/>
      <w:smallCaps/>
      <w:lang w:val="nl-BE"/>
    </w:rPr>
  </w:style>
  <w:style w:type="paragraph" w:customStyle="1" w:styleId="A-TitelMinister">
    <w:name w:val="A-TitelMinister"/>
    <w:basedOn w:val="Standaard"/>
    <w:rsid w:val="00DB41C0"/>
    <w:rPr>
      <w:smallCaps/>
      <w:szCs w:val="22"/>
      <w:lang w:val="nl-BE"/>
    </w:rPr>
  </w:style>
  <w:style w:type="character" w:customStyle="1" w:styleId="A-Indiener">
    <w:name w:val="A-Indiener"/>
    <w:rsid w:val="0071248C"/>
    <w:rPr>
      <w:b/>
      <w:smallCaps/>
    </w:rPr>
  </w:style>
  <w:style w:type="paragraph" w:customStyle="1" w:styleId="Opmaakprofiel1">
    <w:name w:val="Opmaakprofiel1"/>
    <w:basedOn w:val="Standaard"/>
    <w:rsid w:val="00B45EB2"/>
    <w:pPr>
      <w:widowControl w:val="0"/>
      <w:jc w:val="both"/>
    </w:pPr>
    <w:rPr>
      <w:snapToGrid w:val="0"/>
      <w:szCs w:val="20"/>
    </w:rPr>
  </w:style>
  <w:style w:type="paragraph" w:customStyle="1" w:styleId="LijstItemLetter">
    <w:name w:val="LijstItemLetter"/>
    <w:basedOn w:val="Standaard"/>
    <w:rsid w:val="00B45EB2"/>
    <w:pPr>
      <w:widowControl w:val="0"/>
      <w:jc w:val="both"/>
    </w:pPr>
    <w:rPr>
      <w:snapToGrid w:val="0"/>
      <w:szCs w:val="20"/>
    </w:rPr>
  </w:style>
  <w:style w:type="paragraph" w:customStyle="1" w:styleId="AgendaSamenstelling">
    <w:name w:val="AgendaSamenstelling"/>
    <w:basedOn w:val="Standaard"/>
    <w:rsid w:val="00DC4DB6"/>
    <w:pPr>
      <w:keepNext/>
      <w:keepLines/>
      <w:ind w:left="3125" w:hanging="3125"/>
      <w:jc w:val="both"/>
    </w:pPr>
    <w:rPr>
      <w:i/>
      <w:snapToGrid w:val="0"/>
      <w:spacing w:val="-3"/>
      <w:sz w:val="16"/>
      <w:szCs w:val="20"/>
    </w:rPr>
  </w:style>
  <w:style w:type="paragraph" w:customStyle="1" w:styleId="AgendaSamenstellingLeden">
    <w:name w:val="AgendaSamenstellingLeden"/>
    <w:basedOn w:val="AgendaSamenstelling"/>
    <w:rsid w:val="00DC4DB6"/>
    <w:rPr>
      <w:i w:val="0"/>
    </w:rPr>
  </w:style>
  <w:style w:type="paragraph" w:customStyle="1" w:styleId="A-NaamMinister">
    <w:name w:val="A-NaamMinister"/>
    <w:basedOn w:val="Standaard"/>
    <w:link w:val="A-NaamMinisterChar"/>
    <w:rsid w:val="000976E9"/>
    <w:rPr>
      <w:b/>
      <w:smallCaps/>
      <w:lang w:val="nl-BE"/>
    </w:rPr>
  </w:style>
  <w:style w:type="paragraph" w:customStyle="1" w:styleId="A-Lijn">
    <w:name w:val="A-Lijn"/>
    <w:basedOn w:val="Standaard"/>
    <w:rsid w:val="000976E9"/>
    <w:pPr>
      <w:pBdr>
        <w:top w:val="single" w:sz="4" w:space="1" w:color="auto"/>
      </w:pBdr>
    </w:pPr>
    <w:rPr>
      <w:smallCaps/>
      <w:szCs w:val="22"/>
      <w:lang w:val="nl-BE"/>
    </w:rPr>
  </w:style>
  <w:style w:type="paragraph" w:customStyle="1" w:styleId="A-Type">
    <w:name w:val="A-Type"/>
    <w:link w:val="A-TypeChar"/>
    <w:rsid w:val="000976E9"/>
    <w:rPr>
      <w:b/>
      <w:smallCaps/>
      <w:sz w:val="22"/>
      <w:szCs w:val="22"/>
      <w:lang w:eastAsia="nl-NL"/>
    </w:rPr>
  </w:style>
  <w:style w:type="character" w:customStyle="1" w:styleId="A-NaamMinisterChar">
    <w:name w:val="A-NaamMinister Char"/>
    <w:link w:val="A-NaamMinister"/>
    <w:rsid w:val="000976E9"/>
    <w:rPr>
      <w:b/>
      <w:smallCaps/>
      <w:sz w:val="22"/>
      <w:szCs w:val="24"/>
      <w:lang w:val="nl-BE" w:eastAsia="nl-NL" w:bidi="ar-SA"/>
    </w:rPr>
  </w:style>
  <w:style w:type="paragraph" w:customStyle="1" w:styleId="A-Gewonetekst">
    <w:name w:val="A-Gewone tekst"/>
    <w:link w:val="A-GewonetekstChar"/>
    <w:rsid w:val="000976E9"/>
    <w:rPr>
      <w:sz w:val="22"/>
      <w:szCs w:val="24"/>
      <w:lang w:eastAsia="nl-NL"/>
    </w:rPr>
  </w:style>
  <w:style w:type="character" w:customStyle="1" w:styleId="A-GewonetekstChar">
    <w:name w:val="A-Gewone tekst Char"/>
    <w:link w:val="A-Gewonetekst"/>
    <w:rsid w:val="000976E9"/>
    <w:rPr>
      <w:sz w:val="22"/>
      <w:szCs w:val="24"/>
      <w:lang w:val="nl-BE" w:eastAsia="nl-NL" w:bidi="ar-SA"/>
    </w:rPr>
  </w:style>
  <w:style w:type="character" w:customStyle="1" w:styleId="A-TypeChar">
    <w:name w:val="A-Type Char"/>
    <w:link w:val="A-Type"/>
    <w:rsid w:val="000976E9"/>
    <w:rPr>
      <w:b/>
      <w:smallCaps/>
      <w:sz w:val="22"/>
      <w:szCs w:val="22"/>
      <w:lang w:val="nl-BE" w:eastAsia="nl-NL" w:bidi="ar-SA"/>
    </w:rPr>
  </w:style>
  <w:style w:type="character" w:customStyle="1" w:styleId="AntwoordNaamMinisterChar">
    <w:name w:val="AntwoordNaamMinister Char"/>
    <w:link w:val="AntwoordNaamMinister"/>
    <w:rsid w:val="00DB41C0"/>
    <w:rPr>
      <w:b/>
      <w:smallCaps/>
      <w:sz w:val="22"/>
      <w:szCs w:val="24"/>
      <w:lang w:val="nl-BE" w:eastAsia="nl-NL" w:bidi="ar-SA"/>
    </w:rPr>
  </w:style>
  <w:style w:type="character" w:styleId="Tekstvantijdelijkeaanduiding">
    <w:name w:val="Placeholder Text"/>
    <w:basedOn w:val="Standaardalinea-lettertype"/>
    <w:uiPriority w:val="99"/>
    <w:semiHidden/>
    <w:rsid w:val="007C07F4"/>
    <w:rPr>
      <w:color w:val="808080"/>
    </w:rPr>
  </w:style>
  <w:style w:type="character" w:customStyle="1" w:styleId="Stijl1">
    <w:name w:val="Stijl1"/>
    <w:basedOn w:val="Standaardalinea-lettertype"/>
    <w:uiPriority w:val="1"/>
    <w:rsid w:val="007C07F4"/>
    <w:rPr>
      <w:rFonts w:ascii="Verdana" w:hAnsi="Verdana"/>
      <w:caps w:val="0"/>
      <w:smallCaps w:val="0"/>
      <w:strike w:val="0"/>
      <w:dstrike w:val="0"/>
      <w:vanish w:val="0"/>
      <w:color w:val="auto"/>
      <w:sz w:val="20"/>
      <w:vertAlign w:val="baseline"/>
    </w:rPr>
  </w:style>
  <w:style w:type="paragraph" w:styleId="Ballontekst">
    <w:name w:val="Balloon Text"/>
    <w:basedOn w:val="Standaard"/>
    <w:link w:val="BallontekstChar"/>
    <w:rsid w:val="004C2DFE"/>
    <w:rPr>
      <w:rFonts w:ascii="Tahoma" w:hAnsi="Tahoma" w:cs="Tahoma"/>
      <w:sz w:val="16"/>
      <w:szCs w:val="16"/>
    </w:rPr>
  </w:style>
  <w:style w:type="character" w:customStyle="1" w:styleId="BallontekstChar">
    <w:name w:val="Ballontekst Char"/>
    <w:basedOn w:val="Standaardalinea-lettertype"/>
    <w:link w:val="Ballontekst"/>
    <w:rsid w:val="004C2DFE"/>
    <w:rPr>
      <w:rFonts w:ascii="Tahoma" w:hAnsi="Tahoma" w:cs="Tahoma"/>
      <w:sz w:val="16"/>
      <w:szCs w:val="16"/>
      <w:lang w:val="nl-NL" w:eastAsia="nl-NL"/>
    </w:rPr>
  </w:style>
  <w:style w:type="paragraph" w:styleId="Lijstalinea">
    <w:name w:val="List Paragraph"/>
    <w:basedOn w:val="Standaard"/>
    <w:uiPriority w:val="34"/>
    <w:qFormat/>
    <w:rsid w:val="004C2DFE"/>
    <w:pPr>
      <w:ind w:left="720"/>
      <w:contextualSpacing/>
    </w:pPr>
  </w:style>
  <w:style w:type="table" w:styleId="Tabelraster">
    <w:name w:val="Table Grid"/>
    <w:basedOn w:val="Standaardtabel"/>
    <w:rsid w:val="004C2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nhideWhenUsed/>
    <w:rsid w:val="004C2DFE"/>
    <w:pPr>
      <w:jc w:val="both"/>
    </w:pPr>
    <w:rPr>
      <w:rFonts w:ascii="Verdana" w:hAnsi="Verdana"/>
      <w:sz w:val="20"/>
      <w:szCs w:val="20"/>
    </w:rPr>
  </w:style>
  <w:style w:type="character" w:customStyle="1" w:styleId="VoetnoottekstChar">
    <w:name w:val="Voetnoottekst Char"/>
    <w:basedOn w:val="Standaardalinea-lettertype"/>
    <w:link w:val="Voetnoottekst"/>
    <w:rsid w:val="004C2DFE"/>
    <w:rPr>
      <w:rFonts w:ascii="Verdana" w:hAnsi="Verdana"/>
      <w:lang w:val="nl-NL" w:eastAsia="nl-NL"/>
    </w:rPr>
  </w:style>
  <w:style w:type="character" w:styleId="Voetnootmarkering">
    <w:name w:val="footnote reference"/>
    <w:basedOn w:val="Standaardalinea-lettertype"/>
    <w:unhideWhenUsed/>
    <w:rsid w:val="004C2DFE"/>
    <w:rPr>
      <w:vertAlign w:val="superscript"/>
    </w:rPr>
  </w:style>
  <w:style w:type="paragraph" w:customStyle="1" w:styleId="Nummering">
    <w:name w:val="Nummering"/>
    <w:basedOn w:val="Lijstalinea"/>
    <w:link w:val="NummeringChar"/>
    <w:qFormat/>
    <w:rsid w:val="00A80DD6"/>
    <w:pPr>
      <w:numPr>
        <w:numId w:val="10"/>
      </w:numPr>
      <w:spacing w:after="120"/>
      <w:contextualSpacing w:val="0"/>
      <w:jc w:val="both"/>
    </w:pPr>
    <w:rPr>
      <w:rFonts w:ascii="Verdana" w:hAnsi="Verdana"/>
      <w:sz w:val="20"/>
      <w:lang w:val="en-US"/>
    </w:rPr>
  </w:style>
  <w:style w:type="character" w:customStyle="1" w:styleId="NummeringChar">
    <w:name w:val="Nummering Char"/>
    <w:link w:val="Nummering"/>
    <w:rsid w:val="00A80DD6"/>
    <w:rPr>
      <w:rFonts w:ascii="Verdana" w:hAnsi="Verdana"/>
      <w:szCs w:val="24"/>
      <w:lang w:val="en-US" w:eastAsia="nl-NL"/>
    </w:rPr>
  </w:style>
  <w:style w:type="character" w:styleId="Verwijzingopmerking">
    <w:name w:val="annotation reference"/>
    <w:basedOn w:val="Standaardalinea-lettertype"/>
    <w:semiHidden/>
    <w:unhideWhenUsed/>
    <w:rsid w:val="00BF4173"/>
    <w:rPr>
      <w:sz w:val="16"/>
      <w:szCs w:val="16"/>
    </w:rPr>
  </w:style>
  <w:style w:type="paragraph" w:styleId="Tekstopmerking">
    <w:name w:val="annotation text"/>
    <w:basedOn w:val="Standaard"/>
    <w:link w:val="TekstopmerkingChar"/>
    <w:semiHidden/>
    <w:unhideWhenUsed/>
    <w:rsid w:val="00BF4173"/>
    <w:rPr>
      <w:sz w:val="20"/>
      <w:szCs w:val="20"/>
    </w:rPr>
  </w:style>
  <w:style w:type="character" w:customStyle="1" w:styleId="TekstopmerkingChar">
    <w:name w:val="Tekst opmerking Char"/>
    <w:basedOn w:val="Standaardalinea-lettertype"/>
    <w:link w:val="Tekstopmerking"/>
    <w:semiHidden/>
    <w:rsid w:val="00BF4173"/>
    <w:rPr>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563641">
      <w:bodyDiv w:val="1"/>
      <w:marLeft w:val="0"/>
      <w:marRight w:val="0"/>
      <w:marTop w:val="0"/>
      <w:marBottom w:val="0"/>
      <w:divBdr>
        <w:top w:val="none" w:sz="0" w:space="0" w:color="auto"/>
        <w:left w:val="none" w:sz="0" w:space="0" w:color="auto"/>
        <w:bottom w:val="none" w:sz="0" w:space="0" w:color="auto"/>
        <w:right w:val="none" w:sz="0" w:space="0" w:color="auto"/>
      </w:divBdr>
    </w:div>
    <w:div w:id="54244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e\Local%20Settings\Temp\SchrVr-antwoord8.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9"/>
        <w:category>
          <w:name w:val="Algemeen"/>
          <w:gallery w:val="placeholder"/>
        </w:category>
        <w:types>
          <w:type w:val="bbPlcHdr"/>
        </w:types>
        <w:behaviors>
          <w:behavior w:val="content"/>
        </w:behaviors>
        <w:guid w:val="{B8730111-30AB-49F2-9285-8FE183573256}"/>
      </w:docPartPr>
      <w:docPartBody>
        <w:p w:rsidR="00C3444C" w:rsidRDefault="00026AA1">
          <w:r w:rsidRPr="003B4B36">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6AA1"/>
    <w:rsid w:val="00026AA1"/>
    <w:rsid w:val="00044A6E"/>
    <w:rsid w:val="00044D93"/>
    <w:rsid w:val="002D5A2D"/>
    <w:rsid w:val="0032607E"/>
    <w:rsid w:val="003B755B"/>
    <w:rsid w:val="005C3481"/>
    <w:rsid w:val="00712E47"/>
    <w:rsid w:val="007C5892"/>
    <w:rsid w:val="00A5116D"/>
    <w:rsid w:val="00BF0B63"/>
    <w:rsid w:val="00C3444C"/>
    <w:rsid w:val="00D31BEF"/>
    <w:rsid w:val="00D55A64"/>
    <w:rsid w:val="00D629DB"/>
    <w:rsid w:val="00DB4381"/>
    <w:rsid w:val="00F145C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293510B9"/>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D5A2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estandtype xmlns="03d5240a-782c-4048-8313-d01b5d6ab2a6" xsi:nil="true"/>
    <lcf76f155ced4ddcb4097134ff3c332f xmlns="03d5240a-782c-4048-8313-d01b5d6ab2a6">
      <Terms xmlns="http://schemas.microsoft.com/office/infopath/2007/PartnerControls"/>
    </lcf76f155ced4ddcb4097134ff3c332f>
    <Documenttype xmlns="03d5240a-782c-4048-8313-d01b5d6ab2a6" xsi:nil="true"/>
    <Thema xmlns="03d5240a-782c-4048-8313-d01b5d6ab2a6" xsi:nil="true"/>
    <Platform xmlns="03d5240a-782c-4048-8313-d01b5d6ab2a6" xsi:nil="true"/>
    <TaxCatchAll xmlns="9a9ec0f0-7796-43d0-ac1f-4c8c46ee0bd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216F35AF2CB9468CD9A6F9808E74AF" ma:contentTypeVersion="21" ma:contentTypeDescription="Een nieuw document maken." ma:contentTypeScope="" ma:versionID="2d029834adf8bf07a55800a2b97e557c">
  <xsd:schema xmlns:xsd="http://www.w3.org/2001/XMLSchema" xmlns:xs="http://www.w3.org/2001/XMLSchema" xmlns:p="http://schemas.microsoft.com/office/2006/metadata/properties" xmlns:ns2="03d5240a-782c-4048-8313-d01b5d6ab2a6" xmlns:ns3="ceeae0c4-f3ff-4153-af2f-582bafa5e89e" xmlns:ns4="9a9ec0f0-7796-43d0-ac1f-4c8c46ee0bd1" targetNamespace="http://schemas.microsoft.com/office/2006/metadata/properties" ma:root="true" ma:fieldsID="6d1599ae7a28a317842e9ec20c1bd46a" ns2:_="" ns3:_="" ns4:_="">
    <xsd:import namespace="03d5240a-782c-4048-8313-d01b5d6ab2a6"/>
    <xsd:import namespace="ceeae0c4-f3ff-4153-af2f-582bafa5e89e"/>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Bestandtype" minOccurs="0"/>
                <xsd:element ref="ns2:Platform"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MediaServiceAutoKeyPoints" minOccurs="0"/>
                <xsd:element ref="ns2:MediaServiceKeyPoints" minOccurs="0"/>
                <xsd:element ref="ns2:Thema" minOccurs="0"/>
                <xsd:element ref="ns2:Documenttyp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5240a-782c-4048-8313-d01b5d6ab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Bestandtype" ma:index="10" nillable="true" ma:displayName="Bestandtype" ma:description="Type Document" ma:format="Dropdown" ma:internalName="Bestandtype">
      <xsd:simpleType>
        <xsd:restriction base="dms:Choice">
          <xsd:enumeration value="Handleiding"/>
          <xsd:enumeration value="Script"/>
          <xsd:enumeration value="Software"/>
          <xsd:enumeration value="SoftwarePatch"/>
          <xsd:enumeration value="Informatie"/>
          <xsd:enumeration value="Afbeelding"/>
          <xsd:enumeration value="Film"/>
        </xsd:restriction>
      </xsd:simpleType>
    </xsd:element>
    <xsd:element name="Platform" ma:index="11" nillable="true" ma:displayName="Platform" ma:description="Platform versie" ma:format="Dropdown" ma:internalName="Platform">
      <xsd:simpleType>
        <xsd:union memberTypes="dms:Text">
          <xsd:simpleType>
            <xsd:restriction base="dms:Choice">
              <xsd:enumeration value="Windows"/>
              <xsd:enumeration value="MAC"/>
              <xsd:enumeration value="iOS"/>
              <xsd:enumeration value="Android"/>
              <xsd:enumeration value="Meerdere"/>
              <xsd:enumeration value="NVT"/>
            </xsd:restriction>
          </xsd:simpleType>
        </xsd:un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Thema" ma:index="22" nillable="true" ma:displayName="Thema" ma:format="Dropdown" ma:internalName="Thema">
      <xsd:simpleType>
        <xsd:restriction base="dms:Choice">
          <xsd:enumeration value="Regulier"/>
          <xsd:enumeration value="Relance"/>
          <xsd:enumeration value="Covid"/>
          <xsd:enumeration value="Vaccinatie"/>
          <xsd:enumeration value="Testing &amp; Tracing"/>
          <xsd:enumeration value="VIA-6"/>
          <xsd:enumeration value="Oekraïne"/>
        </xsd:restriction>
      </xsd:simpleType>
    </xsd:element>
    <xsd:element name="Documenttype" ma:index="23" nillable="true" ma:displayName="Documenttype" ma:description="Indeling documenttype voor Cel begroting" ma:format="Dropdown" ma:internalName="Documenttype">
      <xsd:simpleType>
        <xsd:restriction base="dms:Choice">
          <xsd:enumeration value="BA ontwerp"/>
          <xsd:enumeration value="BA definitief"/>
          <xsd:enumeration value="Adviesnota BA"/>
          <xsd:enumeration value="Afsprakennota"/>
          <xsd:enumeration value="Advies IF"/>
          <xsd:enumeration value="Advies BOBFO"/>
        </xsd:restrictio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eae0c4-f3ff-4153-af2f-582bafa5e89e"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09275337-85d1-473b-b414-2b0626479769}" ma:internalName="TaxCatchAll" ma:showField="CatchAllData" ma:web="ceeae0c4-f3ff-4153-af2f-582bafa5e8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ECC5C-7A40-4356-BDCA-0A1F679073DC}">
  <ds:schemaRefs>
    <ds:schemaRef ds:uri="http://schemas.microsoft.com/sharepoint/v3/contenttype/forms"/>
  </ds:schemaRefs>
</ds:datastoreItem>
</file>

<file path=customXml/itemProps2.xml><?xml version="1.0" encoding="utf-8"?>
<ds:datastoreItem xmlns:ds="http://schemas.openxmlformats.org/officeDocument/2006/customXml" ds:itemID="{02BBD3C6-1123-4035-8AAD-58D92255BA59}">
  <ds:schemaRefs>
    <ds:schemaRef ds:uri="http://schemas.microsoft.com/office/2006/metadata/properties"/>
    <ds:schemaRef ds:uri="http://schemas.microsoft.com/office/infopath/2007/PartnerControls"/>
    <ds:schemaRef ds:uri="03d5240a-782c-4048-8313-d01b5d6ab2a6"/>
    <ds:schemaRef ds:uri="9a9ec0f0-7796-43d0-ac1f-4c8c46ee0bd1"/>
  </ds:schemaRefs>
</ds:datastoreItem>
</file>

<file path=customXml/itemProps3.xml><?xml version="1.0" encoding="utf-8"?>
<ds:datastoreItem xmlns:ds="http://schemas.openxmlformats.org/officeDocument/2006/customXml" ds:itemID="{93EB7968-3DEA-45F6-B1D2-36B715CC7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5240a-782c-4048-8313-d01b5d6ab2a6"/>
    <ds:schemaRef ds:uri="ceeae0c4-f3ff-4153-af2f-582bafa5e89e"/>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F349D8-2C97-4E0B-BF77-D829F04A6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SchrVr-antwoord8.dot</Template>
  <TotalTime>3</TotalTime>
  <Pages>2</Pages>
  <Words>767</Words>
  <Characters>4219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Antwoord op Schriftelijke Vraag</vt:lpstr>
    </vt:vector>
  </TitlesOfParts>
  <Company>Vlaams Parlement</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Antwoord op Schriftelijke Vraag</dc:title>
  <dc:subject>Antwoord op Schriftelijke Vraag</dc:subject>
  <dc:creator>Marc Beckers</dc:creator>
  <cp:lastModifiedBy>Nathalie De Keyzer</cp:lastModifiedBy>
  <cp:revision>4</cp:revision>
  <cp:lastPrinted>2014-08-26T13:40:00Z</cp:lastPrinted>
  <dcterms:created xsi:type="dcterms:W3CDTF">2023-02-02T08:36:00Z</dcterms:created>
  <dcterms:modified xsi:type="dcterms:W3CDTF">2023-02-10T15:34:00Z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a418deb5-0131-4698-9cf6-6dcaddf66e5c</vt:lpwstr>
  </property>
  <property fmtid="{D5CDD505-2E9C-101B-9397-08002B2CF9AE}" pid="3" name="ContentTypeId">
    <vt:lpwstr>0x0101002E216F35AF2CB9468CD9A6F9808E74AF</vt:lpwstr>
  </property>
  <property fmtid="{D5CDD505-2E9C-101B-9397-08002B2CF9AE}" pid="4" name="MediaServiceImageTags">
    <vt:lpwstr/>
  </property>
</Properties>
</file>