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168F" w14:textId="42AC247E" w:rsidR="00B11BB1" w:rsidRPr="000E649D" w:rsidRDefault="00A7331E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 xml:space="preserve">jo </w:t>
      </w:r>
      <w:proofErr w:type="spellStart"/>
      <w:r>
        <w:rPr>
          <w:rFonts w:ascii="Verdana" w:hAnsi="Verdana"/>
          <w:b/>
          <w:smallCaps/>
          <w:sz w:val="20"/>
          <w:lang w:val="nl-BE"/>
        </w:rPr>
        <w:t>brouns</w:t>
      </w:r>
      <w:proofErr w:type="spellEnd"/>
    </w:p>
    <w:p w14:paraId="3AC51690" w14:textId="1EEE70C2" w:rsidR="00B11BB1" w:rsidRPr="000E649D" w:rsidRDefault="00617203" w:rsidP="00F515B1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>
        <w:rPr>
          <w:rFonts w:ascii="Verdana" w:hAnsi="Verdana"/>
          <w:smallCaps/>
          <w:sz w:val="20"/>
          <w:lang w:val="nl-BE"/>
        </w:rPr>
        <w:t>vlaams</w:t>
      </w:r>
      <w:proofErr w:type="spellEnd"/>
      <w:r>
        <w:rPr>
          <w:rFonts w:ascii="Verdana" w:hAnsi="Verdana"/>
          <w:smallCaps/>
          <w:sz w:val="20"/>
          <w:lang w:val="nl-BE"/>
        </w:rPr>
        <w:t xml:space="preserve"> minister van economie, innovatie, werk, sociale economie en landbouw</w:t>
      </w:r>
    </w:p>
    <w:p w14:paraId="3AC51691" w14:textId="77777777" w:rsidR="00B11BB1" w:rsidRPr="000E649D" w:rsidRDefault="00B11BB1" w:rsidP="00F515B1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3AC51692" w14:textId="77777777" w:rsidR="00B11BB1" w:rsidRPr="000E649D" w:rsidRDefault="00B11BB1" w:rsidP="00F515B1">
      <w:pPr>
        <w:jc w:val="both"/>
        <w:rPr>
          <w:rFonts w:ascii="Verdana" w:hAnsi="Verdana"/>
          <w:sz w:val="20"/>
        </w:rPr>
      </w:pPr>
    </w:p>
    <w:p w14:paraId="3AC51693" w14:textId="282188FB" w:rsidR="006D2F42" w:rsidRPr="005E0043" w:rsidRDefault="005E0043" w:rsidP="00F515B1">
      <w:pPr>
        <w:jc w:val="both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a</w:t>
      </w:r>
      <w:r w:rsidR="006D2F42" w:rsidRPr="005E0043">
        <w:rPr>
          <w:rFonts w:ascii="Verdana" w:hAnsi="Verdana"/>
          <w:b/>
          <w:smallCaps/>
          <w:sz w:val="20"/>
        </w:rPr>
        <w:t>ntwoord</w:t>
      </w:r>
    </w:p>
    <w:p w14:paraId="3AC51694" w14:textId="257E1B9B" w:rsidR="00B11BB1" w:rsidRPr="000E649D" w:rsidRDefault="006D2F42" w:rsidP="00F515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</w:t>
      </w:r>
      <w:r w:rsidR="00B11BB1" w:rsidRPr="000E649D">
        <w:rPr>
          <w:rFonts w:ascii="Verdana" w:hAnsi="Verdana"/>
          <w:sz w:val="20"/>
        </w:rPr>
        <w:t xml:space="preserve">raag nr. </w:t>
      </w:r>
      <w:r w:rsidR="00F9535B">
        <w:rPr>
          <w:rFonts w:ascii="Verdana" w:hAnsi="Verdana"/>
          <w:sz w:val="20"/>
        </w:rPr>
        <w:t>287</w:t>
      </w:r>
      <w:r w:rsidR="00193714">
        <w:rPr>
          <w:rFonts w:ascii="Verdana" w:hAnsi="Verdana"/>
          <w:sz w:val="20"/>
        </w:rPr>
        <w:t xml:space="preserve"> </w:t>
      </w:r>
      <w:r w:rsidR="00B11BB1" w:rsidRPr="000E649D">
        <w:rPr>
          <w:rFonts w:ascii="Verdana" w:hAnsi="Verdana"/>
          <w:sz w:val="20"/>
        </w:rPr>
        <w:t xml:space="preserve">van </w:t>
      </w:r>
      <w:r w:rsidR="00F9535B">
        <w:rPr>
          <w:rFonts w:ascii="Verdana" w:hAnsi="Verdana"/>
          <w:sz w:val="20"/>
        </w:rPr>
        <w:t>19 januari 2023</w:t>
      </w:r>
    </w:p>
    <w:p w14:paraId="3AC51695" w14:textId="5D07017F" w:rsidR="00B11BB1" w:rsidRPr="00BA0247" w:rsidRDefault="00B11BB1" w:rsidP="00F515B1">
      <w:pPr>
        <w:jc w:val="both"/>
        <w:rPr>
          <w:rFonts w:ascii="Verdana" w:hAnsi="Verdana"/>
          <w:b/>
          <w:smallCaps/>
          <w:sz w:val="20"/>
          <w:lang w:val="nl-BE"/>
        </w:rPr>
      </w:pPr>
      <w:r w:rsidRPr="00A27A61">
        <w:rPr>
          <w:rFonts w:ascii="Verdana" w:hAnsi="Verdana"/>
          <w:sz w:val="20"/>
          <w:lang w:val="nl-BE"/>
        </w:rPr>
        <w:t xml:space="preserve">van </w:t>
      </w:r>
      <w:proofErr w:type="spellStart"/>
      <w:r w:rsidR="00F9535B">
        <w:rPr>
          <w:rFonts w:ascii="Verdana" w:hAnsi="Verdana"/>
          <w:b/>
          <w:smallCaps/>
          <w:sz w:val="20"/>
          <w:lang w:val="nl-BE"/>
        </w:rPr>
        <w:t>stefaan</w:t>
      </w:r>
      <w:proofErr w:type="spellEnd"/>
      <w:r w:rsidR="00F9535B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="00F9535B">
        <w:rPr>
          <w:rFonts w:ascii="Verdana" w:hAnsi="Verdana"/>
          <w:b/>
          <w:smallCaps/>
          <w:sz w:val="20"/>
          <w:lang w:val="nl-BE"/>
        </w:rPr>
        <w:t>sintobin</w:t>
      </w:r>
      <w:proofErr w:type="spellEnd"/>
    </w:p>
    <w:p w14:paraId="3AC51696" w14:textId="77777777" w:rsidR="00B11BB1" w:rsidRPr="00A27A61" w:rsidRDefault="00B11BB1" w:rsidP="00F515B1">
      <w:pPr>
        <w:pBdr>
          <w:bottom w:val="single" w:sz="4" w:space="1" w:color="auto"/>
        </w:pBdr>
        <w:jc w:val="both"/>
        <w:rPr>
          <w:rFonts w:ascii="Verdana" w:hAnsi="Verdana"/>
          <w:sz w:val="20"/>
          <w:lang w:val="nl-BE"/>
        </w:rPr>
      </w:pPr>
    </w:p>
    <w:p w14:paraId="3AC51697" w14:textId="77777777" w:rsidR="00B11BB1" w:rsidRPr="00A27A61" w:rsidRDefault="00B11BB1" w:rsidP="00F515B1">
      <w:pPr>
        <w:pStyle w:val="StandaardSV"/>
        <w:rPr>
          <w:rFonts w:ascii="Verdana" w:hAnsi="Verdana"/>
          <w:sz w:val="20"/>
          <w:lang w:val="nl-BE"/>
        </w:rPr>
      </w:pPr>
    </w:p>
    <w:p w14:paraId="70428133" w14:textId="2446A7FE" w:rsidR="00D27BB2" w:rsidRDefault="00D27BB2" w:rsidP="00580690">
      <w:pPr>
        <w:pStyle w:val="StijlStandaardSVVerdana10ptCursiefLinks-175cm"/>
        <w:rPr>
          <w:i w:val="0"/>
        </w:rPr>
      </w:pPr>
    </w:p>
    <w:p w14:paraId="1FDB6F1C" w14:textId="43E9D40E" w:rsidR="005E5F9B" w:rsidRDefault="004D2C9E" w:rsidP="005E5F9B">
      <w:pPr>
        <w:pStyle w:val="StijlStandaardSVVerdana10ptCursiefLinks-175cm"/>
        <w:numPr>
          <w:ilvl w:val="0"/>
          <w:numId w:val="5"/>
        </w:numPr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eastAsia="en-US"/>
        </w:rPr>
        <w:t>Vooreerst wil i</w:t>
      </w:r>
      <w:r w:rsidRPr="005652D8">
        <w:rPr>
          <w:rFonts w:eastAsia="Calibri"/>
          <w:i w:val="0"/>
          <w:lang w:eastAsia="en-US"/>
        </w:rPr>
        <w:t xml:space="preserve">k </w:t>
      </w:r>
      <w:r>
        <w:rPr>
          <w:rFonts w:eastAsia="Calibri"/>
          <w:i w:val="0"/>
          <w:lang w:eastAsia="en-US"/>
        </w:rPr>
        <w:t xml:space="preserve">toch even duidelijk maken dat </w:t>
      </w:r>
      <w:r w:rsidRPr="005652D8">
        <w:rPr>
          <w:rFonts w:eastAsia="Calibri"/>
          <w:i w:val="0"/>
          <w:lang w:eastAsia="en-US"/>
        </w:rPr>
        <w:t>d</w:t>
      </w:r>
      <w:r w:rsidRPr="005652D8">
        <w:rPr>
          <w:rFonts w:eastAsia="Calibri"/>
          <w:i w:val="0"/>
          <w:lang w:val="nl-BE" w:eastAsia="en-US"/>
        </w:rPr>
        <w:t xml:space="preserve">e diensten van Boeren op een Kruispunt niet alleen ter beschikking staan voor landbouwers die in moeilijkheden verkeren. Ook landbouwers met een concrete vraag </w:t>
      </w:r>
      <w:r w:rsidR="00CB278F">
        <w:rPr>
          <w:rFonts w:eastAsia="Calibri"/>
          <w:i w:val="0"/>
          <w:lang w:val="nl-BE" w:eastAsia="en-US"/>
        </w:rPr>
        <w:t xml:space="preserve">rond hun welbevinden </w:t>
      </w:r>
      <w:r w:rsidRPr="005652D8">
        <w:rPr>
          <w:rFonts w:eastAsia="Calibri"/>
          <w:i w:val="0"/>
          <w:lang w:val="nl-BE" w:eastAsia="en-US"/>
        </w:rPr>
        <w:t>kunnen bij Boeren op een Kruispunt</w:t>
      </w:r>
      <w:r>
        <w:rPr>
          <w:rFonts w:eastAsia="Calibri"/>
          <w:i w:val="0"/>
          <w:lang w:val="nl-BE" w:eastAsia="en-US"/>
        </w:rPr>
        <w:t xml:space="preserve"> terecht</w:t>
      </w:r>
      <w:r w:rsidRPr="005652D8">
        <w:rPr>
          <w:rFonts w:eastAsia="Calibri"/>
          <w:i w:val="0"/>
          <w:lang w:val="nl-BE" w:eastAsia="en-US"/>
        </w:rPr>
        <w:t xml:space="preserve">. Preventief aan de slag gaan kan </w:t>
      </w:r>
      <w:r>
        <w:rPr>
          <w:rFonts w:eastAsia="Calibri"/>
          <w:i w:val="0"/>
          <w:lang w:val="nl-BE" w:eastAsia="en-US"/>
        </w:rPr>
        <w:t xml:space="preserve">immers </w:t>
      </w:r>
      <w:r w:rsidRPr="005652D8">
        <w:rPr>
          <w:rFonts w:eastAsia="Calibri"/>
          <w:i w:val="0"/>
          <w:lang w:val="nl-BE" w:eastAsia="en-US"/>
        </w:rPr>
        <w:t>vermijden dat een situatie escaleert.</w:t>
      </w:r>
    </w:p>
    <w:p w14:paraId="1D2A4CD8" w14:textId="1435BA60" w:rsidR="005E5F9B" w:rsidRDefault="004D2C9E" w:rsidP="005E5F9B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In tabel 1 wordt het aantal aanmeldingen weergegeven van landbouwers die een beroep deden op Boeren op een Kruispunt, opgedeeld per provincie.</w:t>
      </w:r>
      <w:r w:rsidR="005E5F9B">
        <w:rPr>
          <w:rFonts w:eastAsia="Calibri"/>
          <w:i w:val="0"/>
          <w:lang w:val="nl-BE" w:eastAsia="en-US"/>
        </w:rPr>
        <w:t xml:space="preserve"> </w:t>
      </w:r>
      <w:r>
        <w:rPr>
          <w:rFonts w:eastAsia="Calibri"/>
          <w:i w:val="0"/>
          <w:lang w:val="nl-BE" w:eastAsia="en-US"/>
        </w:rPr>
        <w:t xml:space="preserve">In de eerste maanden van 2022 was </w:t>
      </w:r>
      <w:r w:rsidR="006A0651">
        <w:rPr>
          <w:rFonts w:eastAsia="Calibri"/>
          <w:i w:val="0"/>
          <w:lang w:val="nl-BE" w:eastAsia="en-US"/>
        </w:rPr>
        <w:t xml:space="preserve">al </w:t>
      </w:r>
      <w:r>
        <w:rPr>
          <w:rFonts w:eastAsia="Calibri"/>
          <w:i w:val="0"/>
          <w:lang w:val="nl-BE" w:eastAsia="en-US"/>
        </w:rPr>
        <w:t>duidelijk dat het onzekere beleidsklimaat, onder meer van</w:t>
      </w:r>
      <w:r w:rsidR="006A0651">
        <w:rPr>
          <w:rFonts w:eastAsia="Calibri"/>
          <w:i w:val="0"/>
          <w:lang w:val="nl-BE" w:eastAsia="en-US"/>
        </w:rPr>
        <w:t>wege</w:t>
      </w:r>
      <w:r>
        <w:rPr>
          <w:rFonts w:eastAsia="Calibri"/>
          <w:i w:val="0"/>
          <w:lang w:val="nl-BE" w:eastAsia="en-US"/>
        </w:rPr>
        <w:t xml:space="preserve"> de PAS-problematiek, een stijging van het aantal aanmeldingen </w:t>
      </w:r>
      <w:r w:rsidR="005E5F9B">
        <w:rPr>
          <w:rFonts w:eastAsia="Calibri"/>
          <w:i w:val="0"/>
          <w:lang w:val="nl-BE" w:eastAsia="en-US"/>
        </w:rPr>
        <w:t>zou</w:t>
      </w:r>
      <w:r>
        <w:rPr>
          <w:rFonts w:eastAsia="Calibri"/>
          <w:i w:val="0"/>
          <w:lang w:val="nl-BE" w:eastAsia="en-US"/>
        </w:rPr>
        <w:t xml:space="preserve"> teweegbrengen. Daarom heeft de Vlaamse regering een bijkomende projectsubsidie toegekend aan Boeren op een kruispunt </w:t>
      </w:r>
      <w:r w:rsidR="00D66CC7">
        <w:rPr>
          <w:rFonts w:eastAsia="Calibri"/>
          <w:i w:val="0"/>
          <w:lang w:val="nl-BE" w:eastAsia="en-US"/>
        </w:rPr>
        <w:t xml:space="preserve">van 1,4 miljoen euro </w:t>
      </w:r>
      <w:r>
        <w:rPr>
          <w:rFonts w:eastAsia="Calibri"/>
          <w:i w:val="0"/>
          <w:lang w:val="nl-BE" w:eastAsia="en-US"/>
        </w:rPr>
        <w:t>voor een tijdelijke verhoging van de personeels- en werkingsmiddelen</w:t>
      </w:r>
      <w:r w:rsidR="00CB278F">
        <w:rPr>
          <w:rFonts w:eastAsia="Calibri"/>
          <w:i w:val="0"/>
          <w:lang w:val="nl-BE" w:eastAsia="en-US"/>
        </w:rPr>
        <w:t xml:space="preserve"> voor de periode 2022-2024</w:t>
      </w:r>
      <w:r>
        <w:rPr>
          <w:rFonts w:eastAsia="Calibri"/>
          <w:i w:val="0"/>
          <w:lang w:val="nl-BE" w:eastAsia="en-US"/>
        </w:rPr>
        <w:t>.</w:t>
      </w:r>
    </w:p>
    <w:p w14:paraId="02FFC535" w14:textId="77777777" w:rsidR="005E5F9B" w:rsidRPr="005E5F9B" w:rsidRDefault="005E5F9B" w:rsidP="005E5F9B">
      <w:pPr>
        <w:pStyle w:val="StijlStandaardSVVerdana10ptCursiefLinks-175cm"/>
        <w:ind w:left="360"/>
        <w:rPr>
          <w:bCs/>
          <w:i w:val="0"/>
          <w:lang w:val="nl-BE"/>
        </w:rPr>
      </w:pPr>
    </w:p>
    <w:p w14:paraId="48360117" w14:textId="6100DF45" w:rsidR="004B7CB7" w:rsidRDefault="004B7CB7" w:rsidP="00570CA2">
      <w:pPr>
        <w:pStyle w:val="StijlStandaardSVVerdana10ptCursiefLinks-175cm"/>
        <w:ind w:left="360"/>
        <w:rPr>
          <w:b/>
          <w:i w:val="0"/>
        </w:rPr>
      </w:pPr>
      <w:r w:rsidRPr="005E5F9B">
        <w:rPr>
          <w:b/>
          <w:i w:val="0"/>
        </w:rPr>
        <w:t xml:space="preserve">Tabel 1. Aantal aanmeldingen </w:t>
      </w:r>
      <w:r w:rsidR="005E5F9B">
        <w:rPr>
          <w:b/>
          <w:i w:val="0"/>
        </w:rPr>
        <w:t xml:space="preserve">bij Boeren op een Kruispunt </w:t>
      </w:r>
      <w:r w:rsidRPr="005E5F9B">
        <w:rPr>
          <w:b/>
          <w:i w:val="0"/>
        </w:rPr>
        <w:t xml:space="preserve">in de </w:t>
      </w:r>
      <w:r w:rsidR="005E5F9B">
        <w:rPr>
          <w:b/>
          <w:i w:val="0"/>
        </w:rPr>
        <w:t xml:space="preserve">periode 2019-2022 </w:t>
      </w:r>
      <w:r w:rsidRPr="005E5F9B">
        <w:rPr>
          <w:b/>
          <w:i w:val="0"/>
        </w:rPr>
        <w:t>per provincie</w:t>
      </w:r>
    </w:p>
    <w:p w14:paraId="798250AD" w14:textId="77777777" w:rsidR="00F475C6" w:rsidRPr="005E5F9B" w:rsidRDefault="00F475C6" w:rsidP="00570CA2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tbl>
      <w:tblPr>
        <w:tblW w:w="8072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1104"/>
        <w:gridCol w:w="1017"/>
        <w:gridCol w:w="1017"/>
        <w:gridCol w:w="1017"/>
      </w:tblGrid>
      <w:tr w:rsidR="004B7CB7" w:rsidRPr="004B7CB7" w14:paraId="11746AEC" w14:textId="77777777" w:rsidTr="00570CA2">
        <w:trPr>
          <w:trHeight w:val="25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4A1DA" w14:textId="77777777" w:rsidR="004B7CB7" w:rsidRPr="004B7CB7" w:rsidRDefault="004B7CB7">
            <w:pPr>
              <w:rPr>
                <w:rFonts w:ascii="Verdana" w:hAnsi="Verdana" w:cs="Arial"/>
                <w:sz w:val="22"/>
                <w:lang w:val="nl-BE" w:eastAsia="en-US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Aanmeldingen per provincie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20CFA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2019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89210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2020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82EFA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F0B61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2022</w:t>
            </w:r>
          </w:p>
        </w:tc>
      </w:tr>
      <w:tr w:rsidR="004B7CB7" w:rsidRPr="004B7CB7" w14:paraId="0FD56E6E" w14:textId="77777777" w:rsidTr="00570CA2">
        <w:trPr>
          <w:trHeight w:val="25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69BAD" w14:textId="77777777" w:rsidR="004B7CB7" w:rsidRPr="004B7CB7" w:rsidRDefault="004B7CB7">
            <w:pPr>
              <w:rPr>
                <w:rFonts w:ascii="Verdana" w:hAnsi="Verdana" w:cs="Arial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West-Vlaanderen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F21AC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BBDEA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1B291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C487C" w14:textId="77777777" w:rsidR="004B7CB7" w:rsidRPr="00CB278F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CB278F">
              <w:rPr>
                <w:rFonts w:ascii="Verdana" w:hAnsi="Verdana" w:cs="Arial"/>
                <w:color w:val="000000"/>
                <w:sz w:val="20"/>
                <w:lang w:eastAsia="nl-BE"/>
              </w:rPr>
              <w:t>108</w:t>
            </w:r>
          </w:p>
        </w:tc>
      </w:tr>
      <w:tr w:rsidR="004B7CB7" w:rsidRPr="004B7CB7" w14:paraId="6A70E101" w14:textId="77777777" w:rsidTr="00570CA2">
        <w:trPr>
          <w:trHeight w:val="25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A19FA" w14:textId="77777777" w:rsidR="004B7CB7" w:rsidRPr="004B7CB7" w:rsidRDefault="004B7CB7">
            <w:pPr>
              <w:rPr>
                <w:rFonts w:ascii="Verdana" w:hAnsi="Verdana" w:cs="Arial"/>
                <w:sz w:val="22"/>
                <w:szCs w:val="22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Oost-Vlaanderen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33F25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A588B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387C4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C37AD" w14:textId="77777777" w:rsidR="004B7CB7" w:rsidRPr="00CB278F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CB278F">
              <w:rPr>
                <w:rFonts w:ascii="Verdana" w:hAnsi="Verdana" w:cs="Arial"/>
                <w:color w:val="000000"/>
                <w:sz w:val="20"/>
                <w:lang w:eastAsia="nl-BE"/>
              </w:rPr>
              <w:t>89</w:t>
            </w:r>
          </w:p>
        </w:tc>
      </w:tr>
      <w:tr w:rsidR="004B7CB7" w:rsidRPr="004B7CB7" w14:paraId="0686B300" w14:textId="77777777" w:rsidTr="00570CA2">
        <w:trPr>
          <w:trHeight w:val="25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4D88E" w14:textId="77777777" w:rsidR="004B7CB7" w:rsidRPr="004B7CB7" w:rsidRDefault="004B7CB7">
            <w:pPr>
              <w:rPr>
                <w:rFonts w:ascii="Verdana" w:hAnsi="Verdana" w:cs="Arial"/>
                <w:sz w:val="22"/>
                <w:szCs w:val="22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Antwerpen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4765C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D78CB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FE7A0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5C3D6" w14:textId="77777777" w:rsidR="004B7CB7" w:rsidRPr="00CB278F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CB278F">
              <w:rPr>
                <w:rFonts w:ascii="Verdana" w:hAnsi="Verdana" w:cs="Arial"/>
                <w:color w:val="000000"/>
                <w:sz w:val="20"/>
                <w:lang w:eastAsia="nl-BE"/>
              </w:rPr>
              <w:t>54</w:t>
            </w:r>
          </w:p>
        </w:tc>
      </w:tr>
      <w:tr w:rsidR="004B7CB7" w:rsidRPr="004B7CB7" w14:paraId="113792A3" w14:textId="77777777" w:rsidTr="00570CA2">
        <w:trPr>
          <w:trHeight w:val="25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DBAB3" w14:textId="77777777" w:rsidR="004B7CB7" w:rsidRPr="004B7CB7" w:rsidRDefault="004B7CB7">
            <w:pPr>
              <w:rPr>
                <w:rFonts w:ascii="Verdana" w:hAnsi="Verdana" w:cs="Arial"/>
                <w:sz w:val="22"/>
                <w:szCs w:val="22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Limburg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04B9A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14668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70089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C723F" w14:textId="77777777" w:rsidR="004B7CB7" w:rsidRPr="00CB278F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CB278F">
              <w:rPr>
                <w:rFonts w:ascii="Verdana" w:hAnsi="Verdana" w:cs="Arial"/>
                <w:color w:val="000000"/>
                <w:sz w:val="20"/>
                <w:lang w:eastAsia="nl-BE"/>
              </w:rPr>
              <w:t>31</w:t>
            </w:r>
          </w:p>
        </w:tc>
      </w:tr>
      <w:tr w:rsidR="004B7CB7" w:rsidRPr="004B7CB7" w14:paraId="6621C906" w14:textId="77777777" w:rsidTr="00570CA2">
        <w:trPr>
          <w:trHeight w:val="270"/>
        </w:trPr>
        <w:tc>
          <w:tcPr>
            <w:tcW w:w="3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13017" w14:textId="77777777" w:rsidR="004B7CB7" w:rsidRPr="004B7CB7" w:rsidRDefault="004B7CB7">
            <w:pPr>
              <w:rPr>
                <w:rFonts w:ascii="Verdana" w:hAnsi="Verdana" w:cs="Arial"/>
                <w:sz w:val="22"/>
                <w:szCs w:val="22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Vlaams-Brabant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E90A9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086FA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6E7BB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color w:val="000000"/>
                <w:sz w:val="20"/>
                <w:lang w:eastAsia="nl-BE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4D2A5" w14:textId="77777777" w:rsidR="004B7CB7" w:rsidRPr="00CB278F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CB278F">
              <w:rPr>
                <w:rFonts w:ascii="Verdana" w:hAnsi="Verdana" w:cs="Arial"/>
                <w:color w:val="000000"/>
                <w:sz w:val="20"/>
                <w:lang w:eastAsia="nl-BE"/>
              </w:rPr>
              <w:t>19</w:t>
            </w:r>
          </w:p>
        </w:tc>
      </w:tr>
      <w:tr w:rsidR="004B7CB7" w:rsidRPr="004B7CB7" w14:paraId="14C845FF" w14:textId="77777777" w:rsidTr="00570CA2">
        <w:trPr>
          <w:trHeight w:val="270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9D727" w14:textId="77777777" w:rsidR="004B7CB7" w:rsidRPr="004B7CB7" w:rsidRDefault="004B7CB7">
            <w:pPr>
              <w:rPr>
                <w:rFonts w:ascii="Verdana" w:hAnsi="Verdana" w:cs="Arial"/>
                <w:sz w:val="22"/>
                <w:szCs w:val="22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TOTAAL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FC332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148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00857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160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CCDC4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sz w:val="20"/>
              </w:rPr>
            </w:pPr>
            <w:r w:rsidRPr="004B7CB7">
              <w:rPr>
                <w:rFonts w:ascii="Verdana" w:hAnsi="Verdana" w:cs="Arial"/>
                <w:b/>
                <w:bCs/>
                <w:color w:val="000000"/>
                <w:sz w:val="20"/>
                <w:lang w:eastAsia="nl-BE"/>
              </w:rPr>
              <w:t>232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EC213" w14:textId="77777777" w:rsidR="004B7CB7" w:rsidRPr="004B7CB7" w:rsidRDefault="004B7CB7" w:rsidP="00570CA2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4B7CB7">
              <w:rPr>
                <w:rFonts w:ascii="Verdana" w:hAnsi="Verdana" w:cs="Arial"/>
                <w:b/>
                <w:bCs/>
                <w:sz w:val="20"/>
              </w:rPr>
              <w:t>302</w:t>
            </w:r>
          </w:p>
        </w:tc>
      </w:tr>
    </w:tbl>
    <w:p w14:paraId="5EAECA78" w14:textId="372AD022" w:rsidR="004B7CB7" w:rsidRPr="00C24952" w:rsidRDefault="004B7CB7" w:rsidP="005E5F9B">
      <w:pPr>
        <w:pStyle w:val="StijlStandaardSVVerdana10ptCursiefLinks-175cm"/>
        <w:ind w:left="357"/>
        <w:jc w:val="left"/>
        <w:rPr>
          <w:rFonts w:eastAsia="Calibri"/>
          <w:i w:val="0"/>
          <w:lang w:val="nl-BE" w:eastAsia="en-US"/>
        </w:rPr>
      </w:pPr>
    </w:p>
    <w:p w14:paraId="3EA19E24" w14:textId="6F944265" w:rsidR="00CB278F" w:rsidRPr="00CB278F" w:rsidRDefault="00CB278F" w:rsidP="005E5F9B">
      <w:pPr>
        <w:pStyle w:val="StijlStandaardSVVerdana10ptCursiefLinks-175cm"/>
        <w:numPr>
          <w:ilvl w:val="0"/>
          <w:numId w:val="5"/>
        </w:numPr>
        <w:rPr>
          <w:i w:val="0"/>
          <w:iCs w:val="0"/>
          <w:lang w:val="nl-BE"/>
        </w:rPr>
      </w:pPr>
      <w:r>
        <w:rPr>
          <w:i w:val="0"/>
          <w:iCs w:val="0"/>
        </w:rPr>
        <w:t>P</w:t>
      </w:r>
      <w:r w:rsidRPr="00D66CC7">
        <w:rPr>
          <w:i w:val="0"/>
          <w:iCs w:val="0"/>
        </w:rPr>
        <w:t xml:space="preserve">as sinds 2021 </w:t>
      </w:r>
      <w:r>
        <w:rPr>
          <w:i w:val="0"/>
          <w:iCs w:val="0"/>
        </w:rPr>
        <w:t xml:space="preserve">wordt er in het registratiesysteem een onderscheid gemaakt tussen nieuwe aanmeldingen en </w:t>
      </w:r>
      <w:proofErr w:type="spellStart"/>
      <w:r>
        <w:rPr>
          <w:i w:val="0"/>
          <w:iCs w:val="0"/>
        </w:rPr>
        <w:t>heraanmeldingen</w:t>
      </w:r>
      <w:proofErr w:type="spellEnd"/>
      <w:r>
        <w:rPr>
          <w:i w:val="0"/>
          <w:iCs w:val="0"/>
        </w:rPr>
        <w:t>.</w:t>
      </w:r>
      <w:r w:rsidRPr="00D66CC7">
        <w:rPr>
          <w:i w:val="0"/>
          <w:iCs w:val="0"/>
        </w:rPr>
        <w:t xml:space="preserve"> Een aanmelding wordt als een </w:t>
      </w:r>
      <w:proofErr w:type="spellStart"/>
      <w:r w:rsidRPr="00D66CC7">
        <w:rPr>
          <w:i w:val="0"/>
          <w:iCs w:val="0"/>
        </w:rPr>
        <w:t>heraanmelding</w:t>
      </w:r>
      <w:proofErr w:type="spellEnd"/>
      <w:r w:rsidRPr="00D66CC7">
        <w:rPr>
          <w:i w:val="0"/>
          <w:iCs w:val="0"/>
        </w:rPr>
        <w:t xml:space="preserve"> beschouwd als </w:t>
      </w:r>
      <w:r>
        <w:rPr>
          <w:i w:val="0"/>
          <w:iCs w:val="0"/>
        </w:rPr>
        <w:t xml:space="preserve">er een lange </w:t>
      </w:r>
      <w:r w:rsidRPr="00D66CC7">
        <w:rPr>
          <w:i w:val="0"/>
          <w:iCs w:val="0"/>
        </w:rPr>
        <w:t>tij</w:t>
      </w:r>
      <w:r w:rsidR="006A0651">
        <w:rPr>
          <w:i w:val="0"/>
          <w:iCs w:val="0"/>
        </w:rPr>
        <w:t>d</w:t>
      </w:r>
      <w:r w:rsidRPr="00D66CC7">
        <w:rPr>
          <w:i w:val="0"/>
          <w:iCs w:val="0"/>
        </w:rPr>
        <w:t xml:space="preserve">sspanne </w:t>
      </w:r>
      <w:r>
        <w:rPr>
          <w:i w:val="0"/>
          <w:iCs w:val="0"/>
        </w:rPr>
        <w:t xml:space="preserve">zit sinds het </w:t>
      </w:r>
      <w:r w:rsidRPr="00D66CC7">
        <w:rPr>
          <w:i w:val="0"/>
          <w:iCs w:val="0"/>
        </w:rPr>
        <w:t>laatste contact</w:t>
      </w:r>
      <w:r>
        <w:rPr>
          <w:i w:val="0"/>
          <w:iCs w:val="0"/>
        </w:rPr>
        <w:t xml:space="preserve">, wat twee </w:t>
      </w:r>
      <w:r w:rsidRPr="00D66CC7">
        <w:rPr>
          <w:i w:val="0"/>
          <w:iCs w:val="0"/>
        </w:rPr>
        <w:t xml:space="preserve">tot soms </w:t>
      </w:r>
      <w:r>
        <w:rPr>
          <w:i w:val="0"/>
          <w:iCs w:val="0"/>
        </w:rPr>
        <w:t xml:space="preserve">drie </w:t>
      </w:r>
      <w:r w:rsidRPr="00D66CC7">
        <w:rPr>
          <w:i w:val="0"/>
          <w:iCs w:val="0"/>
        </w:rPr>
        <w:t xml:space="preserve">jaar is. Een </w:t>
      </w:r>
      <w:proofErr w:type="spellStart"/>
      <w:r w:rsidRPr="00D66CC7">
        <w:rPr>
          <w:i w:val="0"/>
          <w:iCs w:val="0"/>
        </w:rPr>
        <w:t>heraanmelding</w:t>
      </w:r>
      <w:proofErr w:type="spellEnd"/>
      <w:r w:rsidRPr="00D66CC7">
        <w:rPr>
          <w:i w:val="0"/>
          <w:iCs w:val="0"/>
        </w:rPr>
        <w:t xml:space="preserve"> kan betrekking hebben </w:t>
      </w:r>
      <w:r w:rsidR="006A0651">
        <w:rPr>
          <w:i w:val="0"/>
          <w:iCs w:val="0"/>
        </w:rPr>
        <w:t xml:space="preserve">op </w:t>
      </w:r>
      <w:r w:rsidRPr="00D66CC7">
        <w:rPr>
          <w:i w:val="0"/>
          <w:iCs w:val="0"/>
        </w:rPr>
        <w:t>dezelfde problematieken als de eerste aanmelding, maar kan ook over iets totaal anders gaan</w:t>
      </w:r>
      <w:r>
        <w:rPr>
          <w:i w:val="0"/>
          <w:iCs w:val="0"/>
        </w:rPr>
        <w:t>.</w:t>
      </w:r>
      <w:r w:rsidR="00570CA2" w:rsidRPr="00570CA2">
        <w:rPr>
          <w:i w:val="0"/>
          <w:iCs w:val="0"/>
        </w:rPr>
        <w:t xml:space="preserve"> </w:t>
      </w:r>
      <w:r w:rsidR="00570CA2" w:rsidRPr="00CB278F">
        <w:rPr>
          <w:i w:val="0"/>
          <w:iCs w:val="0"/>
        </w:rPr>
        <w:t xml:space="preserve">In 2021 waren er 75 nieuwe aanmeldingen en 157 </w:t>
      </w:r>
      <w:proofErr w:type="spellStart"/>
      <w:r w:rsidR="00570CA2" w:rsidRPr="00CB278F">
        <w:rPr>
          <w:i w:val="0"/>
          <w:iCs w:val="0"/>
        </w:rPr>
        <w:t>heraanmeldingen</w:t>
      </w:r>
      <w:proofErr w:type="spellEnd"/>
      <w:r w:rsidR="00570CA2" w:rsidRPr="00CB278F">
        <w:rPr>
          <w:i w:val="0"/>
          <w:iCs w:val="0"/>
        </w:rPr>
        <w:t xml:space="preserve">, in 2022 waren er 100 nieuwe aanmeldingen en 202 </w:t>
      </w:r>
      <w:proofErr w:type="spellStart"/>
      <w:r w:rsidR="00570CA2" w:rsidRPr="00CB278F">
        <w:rPr>
          <w:i w:val="0"/>
          <w:iCs w:val="0"/>
        </w:rPr>
        <w:t>heraanmeldingen</w:t>
      </w:r>
      <w:proofErr w:type="spellEnd"/>
      <w:r w:rsidR="00570CA2" w:rsidRPr="00CB278F">
        <w:rPr>
          <w:i w:val="0"/>
          <w:iCs w:val="0"/>
        </w:rPr>
        <w:t>.</w:t>
      </w:r>
    </w:p>
    <w:p w14:paraId="2D93257F" w14:textId="77777777" w:rsidR="004B7CB7" w:rsidRPr="005F5EC0" w:rsidRDefault="004B7CB7" w:rsidP="005E5F9B">
      <w:pPr>
        <w:pStyle w:val="StijlStandaardSVVerdana10ptCursiefLinks-175cm"/>
        <w:ind w:left="360"/>
        <w:rPr>
          <w:rFonts w:eastAsia="Calibri"/>
          <w:i w:val="0"/>
          <w:iCs w:val="0"/>
          <w:lang w:val="nl-BE" w:eastAsia="en-US"/>
        </w:rPr>
      </w:pPr>
    </w:p>
    <w:p w14:paraId="5734150E" w14:textId="6AF2246C" w:rsidR="00307B16" w:rsidRPr="00946A2D" w:rsidRDefault="00946A2D" w:rsidP="005E5F9B">
      <w:pPr>
        <w:pStyle w:val="StijlStandaardSVVerdana10ptCursiefLinks-175cm"/>
        <w:numPr>
          <w:ilvl w:val="0"/>
          <w:numId w:val="5"/>
        </w:numPr>
        <w:rPr>
          <w:rFonts w:eastAsia="Calibri"/>
          <w:i w:val="0"/>
          <w:lang w:val="nl-BE" w:eastAsia="en-US"/>
        </w:rPr>
      </w:pPr>
      <w:r w:rsidRPr="00946A2D">
        <w:rPr>
          <w:rFonts w:eastAsia="Calibri"/>
          <w:i w:val="0"/>
          <w:lang w:val="nl-BE" w:eastAsia="en-US"/>
        </w:rPr>
        <w:t xml:space="preserve">Ik heb aan Boeren op een Kruispunt cijfers opgevraagd voor wat betreft </w:t>
      </w:r>
      <w:r w:rsidR="005F5EC0" w:rsidRPr="00946A2D">
        <w:rPr>
          <w:rFonts w:eastAsia="Calibri"/>
          <w:i w:val="0"/>
          <w:lang w:val="nl-BE" w:eastAsia="en-US"/>
        </w:rPr>
        <w:t xml:space="preserve">de gemiddelde duurtijd </w:t>
      </w:r>
      <w:r w:rsidRPr="00946A2D">
        <w:rPr>
          <w:rFonts w:eastAsia="Calibri"/>
          <w:i w:val="0"/>
          <w:lang w:val="nl-BE" w:eastAsia="en-US"/>
        </w:rPr>
        <w:t xml:space="preserve">van een traject. </w:t>
      </w:r>
      <w:r w:rsidR="00F1314B">
        <w:rPr>
          <w:rFonts w:eastAsia="Calibri"/>
          <w:i w:val="0"/>
          <w:lang w:val="nl-BE" w:eastAsia="en-US"/>
        </w:rPr>
        <w:t>Deze kan u vinden in tabel 2. D</w:t>
      </w:r>
      <w:r w:rsidRPr="00946A2D">
        <w:rPr>
          <w:rFonts w:eastAsia="Calibri"/>
          <w:i w:val="0"/>
          <w:lang w:val="nl-BE" w:eastAsia="en-US"/>
        </w:rPr>
        <w:t xml:space="preserve">e organisatie </w:t>
      </w:r>
      <w:r w:rsidR="006A0651" w:rsidRPr="00946A2D">
        <w:rPr>
          <w:rFonts w:eastAsia="Calibri"/>
          <w:i w:val="0"/>
          <w:lang w:val="nl-BE" w:eastAsia="en-US"/>
        </w:rPr>
        <w:t xml:space="preserve">geeft </w:t>
      </w:r>
      <w:r w:rsidR="00F1314B">
        <w:rPr>
          <w:rFonts w:eastAsia="Calibri"/>
          <w:i w:val="0"/>
          <w:lang w:val="nl-BE" w:eastAsia="en-US"/>
        </w:rPr>
        <w:t xml:space="preserve">wel </w:t>
      </w:r>
      <w:r w:rsidRPr="00946A2D">
        <w:rPr>
          <w:rFonts w:eastAsia="Calibri"/>
          <w:i w:val="0"/>
          <w:lang w:val="nl-BE" w:eastAsia="en-US"/>
        </w:rPr>
        <w:t xml:space="preserve">aan dat </w:t>
      </w:r>
      <w:r w:rsidR="00F1314B">
        <w:rPr>
          <w:rFonts w:eastAsia="Calibri"/>
          <w:i w:val="0"/>
          <w:lang w:val="nl-BE" w:eastAsia="en-US"/>
        </w:rPr>
        <w:t xml:space="preserve">deze gegevens </w:t>
      </w:r>
      <w:r w:rsidRPr="00946A2D">
        <w:rPr>
          <w:rFonts w:eastAsia="Calibri"/>
          <w:i w:val="0"/>
          <w:lang w:val="nl-BE" w:eastAsia="en-US"/>
        </w:rPr>
        <w:t xml:space="preserve">uit hun registratiesysteem weinig relevant </w:t>
      </w:r>
      <w:r w:rsidR="00F1314B">
        <w:rPr>
          <w:rFonts w:eastAsia="Calibri"/>
          <w:i w:val="0"/>
          <w:lang w:val="nl-BE" w:eastAsia="en-US"/>
        </w:rPr>
        <w:t>zijn</w:t>
      </w:r>
      <w:r w:rsidRPr="00946A2D">
        <w:rPr>
          <w:rFonts w:eastAsia="Calibri"/>
          <w:i w:val="0"/>
          <w:lang w:val="nl-BE" w:eastAsia="en-US"/>
        </w:rPr>
        <w:t xml:space="preserve">. </w:t>
      </w:r>
      <w:r w:rsidR="00F1314B">
        <w:rPr>
          <w:rFonts w:eastAsia="Calibri"/>
          <w:i w:val="0"/>
          <w:lang w:val="nl-BE" w:eastAsia="en-US"/>
        </w:rPr>
        <w:t xml:space="preserve">Bij de berekening van de duurtijd werd gekeken naar de eerste en de laatste registratie in hun systeem. </w:t>
      </w:r>
      <w:r w:rsidR="005F5EC0" w:rsidRPr="00946A2D">
        <w:rPr>
          <w:rFonts w:eastAsia="Calibri"/>
          <w:i w:val="0"/>
          <w:lang w:val="nl-BE" w:eastAsia="en-US"/>
        </w:rPr>
        <w:t>Een traject kan enkele maanden duren terwijl een ander traject meerdere jaren kan duren</w:t>
      </w:r>
      <w:r w:rsidR="00F1314B">
        <w:rPr>
          <w:rFonts w:eastAsia="Calibri"/>
          <w:i w:val="0"/>
          <w:lang w:val="nl-BE" w:eastAsia="en-US"/>
        </w:rPr>
        <w:t>, sommige trajecten zijn ook nog niet afgelopen.</w:t>
      </w:r>
      <w:r w:rsidR="005F5EC0" w:rsidRPr="00946A2D">
        <w:rPr>
          <w:rFonts w:eastAsia="Calibri"/>
          <w:i w:val="0"/>
          <w:lang w:val="nl-BE" w:eastAsia="en-US"/>
        </w:rPr>
        <w:t xml:space="preserve"> Voor de pas opgestarte trajecten waarvan </w:t>
      </w:r>
      <w:r w:rsidR="00307B16" w:rsidRPr="00946A2D">
        <w:rPr>
          <w:rFonts w:eastAsia="Calibri"/>
          <w:i w:val="0"/>
          <w:lang w:val="nl-BE" w:eastAsia="en-US"/>
        </w:rPr>
        <w:t xml:space="preserve">vermoed wordt </w:t>
      </w:r>
      <w:r w:rsidR="005F5EC0" w:rsidRPr="00946A2D">
        <w:rPr>
          <w:rFonts w:eastAsia="Calibri"/>
          <w:i w:val="0"/>
          <w:lang w:val="nl-BE" w:eastAsia="en-US"/>
        </w:rPr>
        <w:t xml:space="preserve">dat ze meerdere jaren zullen duren, is </w:t>
      </w:r>
      <w:r w:rsidR="00307B16" w:rsidRPr="00946A2D">
        <w:rPr>
          <w:rFonts w:eastAsia="Calibri"/>
          <w:i w:val="0"/>
          <w:lang w:val="nl-BE" w:eastAsia="en-US"/>
        </w:rPr>
        <w:t xml:space="preserve">dan ook </w:t>
      </w:r>
      <w:r w:rsidR="005F5EC0" w:rsidRPr="00946A2D">
        <w:rPr>
          <w:rFonts w:eastAsia="Calibri"/>
          <w:i w:val="0"/>
          <w:lang w:val="nl-BE" w:eastAsia="en-US"/>
        </w:rPr>
        <w:t xml:space="preserve">nog niet </w:t>
      </w:r>
      <w:r w:rsidR="00307B16" w:rsidRPr="00946A2D">
        <w:rPr>
          <w:rFonts w:eastAsia="Calibri"/>
          <w:i w:val="0"/>
          <w:lang w:val="nl-BE" w:eastAsia="en-US"/>
        </w:rPr>
        <w:t xml:space="preserve">duidelijk hoe lang ze zullen duren. Om echt relevante gegevens over gemiddelde duurtijd te hebben </w:t>
      </w:r>
      <w:r>
        <w:rPr>
          <w:rFonts w:eastAsia="Calibri"/>
          <w:i w:val="0"/>
          <w:lang w:val="nl-BE" w:eastAsia="en-US"/>
        </w:rPr>
        <w:t xml:space="preserve">voor de meest recente jaren </w:t>
      </w:r>
      <w:r w:rsidR="00307B16" w:rsidRPr="00946A2D">
        <w:rPr>
          <w:rFonts w:eastAsia="Calibri"/>
          <w:i w:val="0"/>
          <w:lang w:val="nl-BE" w:eastAsia="en-US"/>
        </w:rPr>
        <w:t xml:space="preserve">is </w:t>
      </w:r>
      <w:r>
        <w:rPr>
          <w:rFonts w:eastAsia="Calibri"/>
          <w:i w:val="0"/>
          <w:lang w:val="nl-BE" w:eastAsia="en-US"/>
        </w:rPr>
        <w:t xml:space="preserve">dan ook </w:t>
      </w:r>
      <w:r w:rsidR="00307B16" w:rsidRPr="00946A2D">
        <w:rPr>
          <w:rFonts w:eastAsia="Calibri"/>
          <w:i w:val="0"/>
          <w:lang w:val="nl-BE" w:eastAsia="en-US"/>
        </w:rPr>
        <w:t>een langere periode nodig. De gemiddelde duurtijd van de dossiers van de laatste jaren, zullen we pas over een aantal jaren kennen.</w:t>
      </w:r>
    </w:p>
    <w:p w14:paraId="1879433B" w14:textId="6BBA9CD8" w:rsidR="00F9535B" w:rsidRDefault="00F9535B" w:rsidP="005E5F9B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09186C33" w14:textId="77777777" w:rsidR="00F475C6" w:rsidRDefault="00F475C6">
      <w:pPr>
        <w:spacing w:after="200" w:line="276" w:lineRule="auto"/>
        <w:rPr>
          <w:rFonts w:ascii="Verdana" w:eastAsia="Calibri" w:hAnsi="Verdana"/>
          <w:b/>
          <w:bCs/>
          <w:iCs/>
          <w:sz w:val="20"/>
          <w:lang w:val="nl-BE" w:eastAsia="en-US"/>
        </w:rPr>
      </w:pPr>
      <w:r>
        <w:rPr>
          <w:rFonts w:eastAsia="Calibri"/>
          <w:b/>
          <w:bCs/>
          <w:i/>
          <w:lang w:val="nl-BE" w:eastAsia="en-US"/>
        </w:rPr>
        <w:br w:type="page"/>
      </w:r>
    </w:p>
    <w:p w14:paraId="711FE91A" w14:textId="08FB8CBD" w:rsidR="00F1314B" w:rsidRDefault="00F1314B" w:rsidP="00F9535B">
      <w:pPr>
        <w:pStyle w:val="StijlStandaardSVVerdana10ptCursiefLinks-175cm"/>
        <w:ind w:left="360"/>
        <w:jc w:val="left"/>
        <w:rPr>
          <w:rFonts w:eastAsia="Calibri"/>
          <w:b/>
          <w:bCs/>
          <w:i w:val="0"/>
          <w:lang w:val="nl-BE" w:eastAsia="en-US"/>
        </w:rPr>
      </w:pPr>
      <w:r w:rsidRPr="00F1314B">
        <w:rPr>
          <w:rFonts w:eastAsia="Calibri"/>
          <w:b/>
          <w:bCs/>
          <w:i w:val="0"/>
          <w:lang w:val="nl-BE" w:eastAsia="en-US"/>
        </w:rPr>
        <w:lastRenderedPageBreak/>
        <w:t xml:space="preserve">Tabel 2. Gemiddelde duurtijd van een traject </w:t>
      </w:r>
      <w:r w:rsidR="006105F7">
        <w:rPr>
          <w:rFonts w:eastAsia="Calibri"/>
          <w:b/>
          <w:bCs/>
          <w:i w:val="0"/>
          <w:lang w:val="nl-BE" w:eastAsia="en-US"/>
        </w:rPr>
        <w:t xml:space="preserve">bij Boeren op een Kruispunt </w:t>
      </w:r>
      <w:r w:rsidRPr="00F1314B">
        <w:rPr>
          <w:rFonts w:eastAsia="Calibri"/>
          <w:b/>
          <w:bCs/>
          <w:i w:val="0"/>
          <w:lang w:val="nl-BE" w:eastAsia="en-US"/>
        </w:rPr>
        <w:t>op basis van eerste en laatste registratie</w:t>
      </w:r>
    </w:p>
    <w:p w14:paraId="3552E895" w14:textId="77777777" w:rsidR="00F475C6" w:rsidRPr="00F1314B" w:rsidRDefault="00F475C6" w:rsidP="00F9535B">
      <w:pPr>
        <w:pStyle w:val="StijlStandaardSVVerdana10ptCursiefLinks-175cm"/>
        <w:ind w:left="360"/>
        <w:jc w:val="left"/>
        <w:rPr>
          <w:rFonts w:eastAsia="Calibri"/>
          <w:b/>
          <w:bCs/>
          <w:i w:val="0"/>
          <w:lang w:val="nl-BE" w:eastAsia="en-US"/>
        </w:rPr>
      </w:pPr>
    </w:p>
    <w:tbl>
      <w:tblPr>
        <w:tblW w:w="878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1136"/>
        <w:gridCol w:w="1072"/>
        <w:gridCol w:w="1072"/>
        <w:gridCol w:w="1800"/>
      </w:tblGrid>
      <w:tr w:rsidR="00F1314B" w:rsidRPr="00F1314B" w14:paraId="6231B6E3" w14:textId="77777777" w:rsidTr="006105F7">
        <w:trPr>
          <w:trHeight w:val="270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85CF4" w14:textId="1A3AFA17" w:rsidR="00F1314B" w:rsidRPr="00F1314B" w:rsidRDefault="006105F7">
            <w:pPr>
              <w:rPr>
                <w:rFonts w:ascii="Verdana" w:hAnsi="Verdana" w:cs="Arial"/>
                <w:sz w:val="20"/>
                <w:lang w:val="nl-BE" w:eastAsia="en-US"/>
              </w:rPr>
            </w:pPr>
            <w:r>
              <w:rPr>
                <w:rFonts w:ascii="Verdana" w:hAnsi="Verdana" w:cs="Arial"/>
                <w:sz w:val="20"/>
                <w:lang w:val="nl-BE" w:eastAsia="en-US"/>
              </w:rPr>
              <w:t>Jaar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2D62E" w14:textId="77777777" w:rsidR="00F1314B" w:rsidRPr="006105F7" w:rsidRDefault="00F1314B" w:rsidP="006105F7">
            <w:pPr>
              <w:jc w:val="center"/>
              <w:rPr>
                <w:rFonts w:ascii="Verdana" w:hAnsi="Verdana" w:cs="Arial"/>
                <w:sz w:val="20"/>
              </w:rPr>
            </w:pPr>
            <w:r w:rsidRPr="006105F7">
              <w:rPr>
                <w:rFonts w:ascii="Verdana" w:hAnsi="Verdana" w:cs="Arial"/>
                <w:color w:val="000000"/>
                <w:sz w:val="20"/>
                <w:lang w:eastAsia="nl-BE"/>
              </w:rPr>
              <w:t>2019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F95E1" w14:textId="77777777" w:rsidR="00F1314B" w:rsidRPr="006105F7" w:rsidRDefault="00F1314B" w:rsidP="006105F7">
            <w:pPr>
              <w:jc w:val="center"/>
              <w:rPr>
                <w:rFonts w:ascii="Verdana" w:hAnsi="Verdana" w:cs="Arial"/>
                <w:sz w:val="20"/>
              </w:rPr>
            </w:pPr>
            <w:r w:rsidRPr="006105F7">
              <w:rPr>
                <w:rFonts w:ascii="Verdana" w:hAnsi="Verdana" w:cs="Arial"/>
                <w:color w:val="000000"/>
                <w:sz w:val="20"/>
                <w:lang w:eastAsia="nl-BE"/>
              </w:rPr>
              <w:t>2020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5932F" w14:textId="77777777" w:rsidR="00F1314B" w:rsidRPr="006105F7" w:rsidRDefault="00F1314B" w:rsidP="006105F7">
            <w:pPr>
              <w:jc w:val="center"/>
              <w:rPr>
                <w:rFonts w:ascii="Verdana" w:hAnsi="Verdana" w:cs="Arial"/>
                <w:sz w:val="20"/>
              </w:rPr>
            </w:pPr>
            <w:r w:rsidRPr="006105F7">
              <w:rPr>
                <w:rFonts w:ascii="Verdana" w:hAnsi="Verdana" w:cs="Arial"/>
                <w:color w:val="000000"/>
                <w:sz w:val="20"/>
                <w:lang w:eastAsia="nl-BE"/>
              </w:rPr>
              <w:t>2021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C3FA1" w14:textId="77777777" w:rsidR="00F1314B" w:rsidRPr="006105F7" w:rsidRDefault="00F1314B" w:rsidP="006105F7">
            <w:pPr>
              <w:jc w:val="center"/>
              <w:rPr>
                <w:rFonts w:ascii="Verdana" w:hAnsi="Verdana" w:cs="Arial"/>
                <w:sz w:val="20"/>
              </w:rPr>
            </w:pPr>
            <w:r w:rsidRPr="006105F7">
              <w:rPr>
                <w:rFonts w:ascii="Verdana" w:hAnsi="Verdana" w:cs="Arial"/>
                <w:color w:val="000000"/>
                <w:sz w:val="20"/>
                <w:lang w:eastAsia="nl-BE"/>
              </w:rPr>
              <w:t>2022</w:t>
            </w:r>
          </w:p>
        </w:tc>
      </w:tr>
      <w:tr w:rsidR="00F1314B" w:rsidRPr="00F1314B" w14:paraId="0E9A95F5" w14:textId="77777777" w:rsidTr="006105F7">
        <w:trPr>
          <w:trHeight w:val="27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21389" w14:textId="1177292A" w:rsidR="00F1314B" w:rsidRPr="006105F7" w:rsidRDefault="006105F7">
            <w:pPr>
              <w:rPr>
                <w:rFonts w:ascii="Verdana" w:hAnsi="Verdana" w:cs="Arial"/>
                <w:sz w:val="20"/>
              </w:rPr>
            </w:pPr>
            <w:r w:rsidRPr="006105F7">
              <w:rPr>
                <w:rFonts w:ascii="Verdana" w:hAnsi="Verdana" w:cs="Arial"/>
                <w:color w:val="000000"/>
                <w:sz w:val="20"/>
                <w:lang w:eastAsia="nl-BE"/>
              </w:rPr>
              <w:t>Gemiddelde duurtijd van een traject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425EC" w14:textId="77777777" w:rsidR="00F1314B" w:rsidRPr="00F1314B" w:rsidRDefault="00F1314B" w:rsidP="006105F7">
            <w:pPr>
              <w:jc w:val="center"/>
              <w:rPr>
                <w:rFonts w:ascii="Verdana" w:hAnsi="Verdana" w:cs="Arial"/>
                <w:sz w:val="20"/>
              </w:rPr>
            </w:pPr>
            <w:r w:rsidRPr="00F1314B">
              <w:rPr>
                <w:rFonts w:ascii="Verdana" w:hAnsi="Verdana" w:cs="Arial"/>
                <w:color w:val="000000"/>
                <w:sz w:val="20"/>
                <w:lang w:eastAsia="nl-BE"/>
              </w:rPr>
              <w:t>38 maanden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F7638" w14:textId="77777777" w:rsidR="00F1314B" w:rsidRPr="00F1314B" w:rsidRDefault="00F1314B" w:rsidP="006105F7">
            <w:pPr>
              <w:jc w:val="center"/>
              <w:rPr>
                <w:rFonts w:ascii="Verdana" w:hAnsi="Verdana" w:cs="Arial"/>
                <w:sz w:val="20"/>
              </w:rPr>
            </w:pPr>
            <w:r w:rsidRPr="00F1314B">
              <w:rPr>
                <w:rFonts w:ascii="Verdana" w:hAnsi="Verdana" w:cs="Arial"/>
                <w:color w:val="000000"/>
                <w:sz w:val="20"/>
                <w:lang w:eastAsia="nl-BE"/>
              </w:rPr>
              <w:t>30 maanden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737FB" w14:textId="77777777" w:rsidR="00F1314B" w:rsidRPr="00F1314B" w:rsidRDefault="00F1314B" w:rsidP="006105F7">
            <w:pPr>
              <w:jc w:val="center"/>
              <w:rPr>
                <w:rFonts w:ascii="Verdana" w:hAnsi="Verdana" w:cs="Arial"/>
                <w:sz w:val="20"/>
              </w:rPr>
            </w:pPr>
            <w:r w:rsidRPr="00F1314B">
              <w:rPr>
                <w:rFonts w:ascii="Verdana" w:hAnsi="Verdana" w:cs="Arial"/>
                <w:color w:val="000000"/>
                <w:sz w:val="20"/>
                <w:lang w:eastAsia="nl-BE"/>
              </w:rPr>
              <w:t>18 maanden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B78EB" w14:textId="77777777" w:rsidR="00F1314B" w:rsidRPr="00F1314B" w:rsidRDefault="00F1314B" w:rsidP="006105F7">
            <w:pPr>
              <w:jc w:val="center"/>
              <w:rPr>
                <w:rFonts w:ascii="Verdana" w:hAnsi="Verdana" w:cs="Arial"/>
                <w:color w:val="000000"/>
                <w:sz w:val="20"/>
                <w:lang w:eastAsia="nl-BE"/>
              </w:rPr>
            </w:pPr>
            <w:r w:rsidRPr="00F1314B">
              <w:rPr>
                <w:rFonts w:ascii="Verdana" w:hAnsi="Verdana" w:cs="Arial"/>
                <w:color w:val="000000"/>
                <w:sz w:val="20"/>
                <w:lang w:eastAsia="nl-BE"/>
              </w:rPr>
              <w:t>4 maanden</w:t>
            </w:r>
          </w:p>
        </w:tc>
      </w:tr>
    </w:tbl>
    <w:p w14:paraId="36E18781" w14:textId="77777777" w:rsidR="00F1314B" w:rsidRDefault="00F1314B" w:rsidP="00F9535B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p w14:paraId="21E0F911" w14:textId="4EBFBD45" w:rsidR="002E08D5" w:rsidRDefault="00D66CC7" w:rsidP="005E5F9B">
      <w:pPr>
        <w:pStyle w:val="StijlStandaardSVVerdana10ptCursiefLinks-175cm"/>
        <w:numPr>
          <w:ilvl w:val="0"/>
          <w:numId w:val="5"/>
        </w:numPr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Zoals reeds vermeld in het antwoord op vraag 1 heeft de Vlaamse regering aan </w:t>
      </w:r>
      <w:r w:rsidR="00331B4C">
        <w:rPr>
          <w:rFonts w:eastAsia="Calibri"/>
          <w:i w:val="0"/>
          <w:lang w:val="nl-BE" w:eastAsia="en-US"/>
        </w:rPr>
        <w:t xml:space="preserve">Boeren op een Kruispunt een projectsubsidie </w:t>
      </w:r>
      <w:r>
        <w:rPr>
          <w:rFonts w:eastAsia="Calibri"/>
          <w:i w:val="0"/>
          <w:lang w:val="nl-BE" w:eastAsia="en-US"/>
        </w:rPr>
        <w:t xml:space="preserve">toegekend </w:t>
      </w:r>
      <w:r w:rsidR="00331B4C">
        <w:rPr>
          <w:rFonts w:eastAsia="Calibri"/>
          <w:i w:val="0"/>
          <w:lang w:val="nl-BE" w:eastAsia="en-US"/>
        </w:rPr>
        <w:t xml:space="preserve">van 1,4 miljoen euro </w:t>
      </w:r>
      <w:r>
        <w:rPr>
          <w:rFonts w:eastAsia="Calibri"/>
          <w:i w:val="0"/>
          <w:lang w:val="nl-BE" w:eastAsia="en-US"/>
        </w:rPr>
        <w:t xml:space="preserve">voor </w:t>
      </w:r>
      <w:r w:rsidR="00331B4C">
        <w:rPr>
          <w:rFonts w:eastAsia="Calibri"/>
          <w:i w:val="0"/>
          <w:lang w:val="nl-BE" w:eastAsia="en-US"/>
        </w:rPr>
        <w:t xml:space="preserve">de periode 2022-2024 in het kader van PAS. </w:t>
      </w:r>
      <w:r w:rsidR="002E08D5">
        <w:rPr>
          <w:rFonts w:eastAsia="Calibri"/>
          <w:i w:val="0"/>
          <w:lang w:val="nl-BE" w:eastAsia="en-US"/>
        </w:rPr>
        <w:t>Met deze bijkomende subsidie voor een tijdelijke personeelsvermeerdering wordt tegemoetgekomen aan het stijgend aantal aanmeldingen.</w:t>
      </w:r>
    </w:p>
    <w:p w14:paraId="69E6D659" w14:textId="77B57E8D" w:rsidR="00331B4C" w:rsidRDefault="006105F7" w:rsidP="002E08D5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Voor de generieke werking van Boeren op een Kruispunt voor het werkingsjaar 2023 is </w:t>
      </w:r>
      <w:r w:rsidR="002E08D5">
        <w:rPr>
          <w:rFonts w:eastAsia="Calibri"/>
          <w:i w:val="0"/>
          <w:lang w:val="nl-BE" w:eastAsia="en-US"/>
        </w:rPr>
        <w:t>binnen de landbouw</w:t>
      </w:r>
      <w:r>
        <w:rPr>
          <w:rFonts w:eastAsia="Calibri"/>
          <w:i w:val="0"/>
          <w:lang w:val="nl-BE" w:eastAsia="en-US"/>
        </w:rPr>
        <w:t>begroting een subsidiebudget voorzien van 430.000 euro.</w:t>
      </w:r>
    </w:p>
    <w:p w14:paraId="6A335040" w14:textId="77777777" w:rsidR="005E5F9B" w:rsidRPr="00331B4C" w:rsidRDefault="005E5F9B" w:rsidP="005E5F9B">
      <w:pPr>
        <w:pStyle w:val="StijlStandaardSVVerdana10ptCursiefLinks-175cm"/>
        <w:jc w:val="left"/>
        <w:rPr>
          <w:rFonts w:eastAsia="Calibri"/>
          <w:i w:val="0"/>
          <w:lang w:val="nl-BE" w:eastAsia="en-US"/>
        </w:rPr>
      </w:pPr>
    </w:p>
    <w:sectPr w:rsidR="005E5F9B" w:rsidRPr="00331B4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B27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088"/>
    <w:multiLevelType w:val="hybridMultilevel"/>
    <w:tmpl w:val="02DC2BC8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6094E"/>
    <w:multiLevelType w:val="hybridMultilevel"/>
    <w:tmpl w:val="CC9036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25F2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66DC"/>
    <w:multiLevelType w:val="hybridMultilevel"/>
    <w:tmpl w:val="55FAEE50"/>
    <w:lvl w:ilvl="0" w:tplc="A2B0D3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918CD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385848"/>
    <w:multiLevelType w:val="hybridMultilevel"/>
    <w:tmpl w:val="BE4C0080"/>
    <w:lvl w:ilvl="0" w:tplc="379480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4467E"/>
    <w:multiLevelType w:val="hybridMultilevel"/>
    <w:tmpl w:val="069E2CAA"/>
    <w:lvl w:ilvl="0" w:tplc="AB4271DA">
      <w:start w:val="3"/>
      <w:numFmt w:val="decimal"/>
      <w:lvlText w:val="%1-5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7379"/>
    <w:multiLevelType w:val="hybridMultilevel"/>
    <w:tmpl w:val="529CAA2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12B73"/>
    <w:multiLevelType w:val="hybridMultilevel"/>
    <w:tmpl w:val="68ACFC40"/>
    <w:lvl w:ilvl="0" w:tplc="05E6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A72AC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72B23"/>
    <w:multiLevelType w:val="hybridMultilevel"/>
    <w:tmpl w:val="40381A1A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5A69FF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53A39"/>
    <w:multiLevelType w:val="hybridMultilevel"/>
    <w:tmpl w:val="C4F8020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8530A"/>
    <w:multiLevelType w:val="hybridMultilevel"/>
    <w:tmpl w:val="F7F881C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03E06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560000">
    <w:abstractNumId w:val="9"/>
  </w:num>
  <w:num w:numId="2" w16cid:durableId="204679052">
    <w:abstractNumId w:val="7"/>
  </w:num>
  <w:num w:numId="3" w16cid:durableId="311328082">
    <w:abstractNumId w:val="11"/>
  </w:num>
  <w:num w:numId="4" w16cid:durableId="1400861622">
    <w:abstractNumId w:val="14"/>
  </w:num>
  <w:num w:numId="5" w16cid:durableId="396513876">
    <w:abstractNumId w:val="13"/>
  </w:num>
  <w:num w:numId="6" w16cid:durableId="1521122134">
    <w:abstractNumId w:val="1"/>
  </w:num>
  <w:num w:numId="7" w16cid:durableId="1479032667">
    <w:abstractNumId w:val="5"/>
  </w:num>
  <w:num w:numId="8" w16cid:durableId="319770772">
    <w:abstractNumId w:val="8"/>
  </w:num>
  <w:num w:numId="9" w16cid:durableId="145708369">
    <w:abstractNumId w:val="15"/>
  </w:num>
  <w:num w:numId="10" w16cid:durableId="235094210">
    <w:abstractNumId w:val="4"/>
  </w:num>
  <w:num w:numId="11" w16cid:durableId="313333783">
    <w:abstractNumId w:val="0"/>
  </w:num>
  <w:num w:numId="12" w16cid:durableId="725489850">
    <w:abstractNumId w:val="3"/>
  </w:num>
  <w:num w:numId="13" w16cid:durableId="35931362">
    <w:abstractNumId w:val="12"/>
  </w:num>
  <w:num w:numId="14" w16cid:durableId="1647320155">
    <w:abstractNumId w:val="10"/>
  </w:num>
  <w:num w:numId="15" w16cid:durableId="290400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11018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D5367"/>
    <w:rsid w:val="00006E02"/>
    <w:rsid w:val="00012A20"/>
    <w:rsid w:val="0001640B"/>
    <w:rsid w:val="00017798"/>
    <w:rsid w:val="000217BC"/>
    <w:rsid w:val="00055182"/>
    <w:rsid w:val="00064DC3"/>
    <w:rsid w:val="0006530E"/>
    <w:rsid w:val="00067E81"/>
    <w:rsid w:val="00086CB6"/>
    <w:rsid w:val="000A2CA5"/>
    <w:rsid w:val="000A41AA"/>
    <w:rsid w:val="000A4FF4"/>
    <w:rsid w:val="000A7F61"/>
    <w:rsid w:val="000B7E0E"/>
    <w:rsid w:val="000C271D"/>
    <w:rsid w:val="000C426D"/>
    <w:rsid w:val="000E7DDA"/>
    <w:rsid w:val="000F58B3"/>
    <w:rsid w:val="001077A6"/>
    <w:rsid w:val="00126819"/>
    <w:rsid w:val="00132A27"/>
    <w:rsid w:val="00137474"/>
    <w:rsid w:val="00142FE3"/>
    <w:rsid w:val="001430FD"/>
    <w:rsid w:val="001462F9"/>
    <w:rsid w:val="0015257A"/>
    <w:rsid w:val="001541F5"/>
    <w:rsid w:val="00155340"/>
    <w:rsid w:val="00171223"/>
    <w:rsid w:val="00173D06"/>
    <w:rsid w:val="00173E62"/>
    <w:rsid w:val="00190ED7"/>
    <w:rsid w:val="00193714"/>
    <w:rsid w:val="00195865"/>
    <w:rsid w:val="001A2D80"/>
    <w:rsid w:val="001A3225"/>
    <w:rsid w:val="001B0917"/>
    <w:rsid w:val="001B2F27"/>
    <w:rsid w:val="001B5919"/>
    <w:rsid w:val="001B70FB"/>
    <w:rsid w:val="001C2638"/>
    <w:rsid w:val="001C5098"/>
    <w:rsid w:val="001C6F2D"/>
    <w:rsid w:val="001E2F24"/>
    <w:rsid w:val="001F238C"/>
    <w:rsid w:val="001F341C"/>
    <w:rsid w:val="00203A6C"/>
    <w:rsid w:val="00203EA5"/>
    <w:rsid w:val="00210519"/>
    <w:rsid w:val="002172BD"/>
    <w:rsid w:val="0022435E"/>
    <w:rsid w:val="002302FF"/>
    <w:rsid w:val="00232AFA"/>
    <w:rsid w:val="00236C91"/>
    <w:rsid w:val="0025419B"/>
    <w:rsid w:val="00261542"/>
    <w:rsid w:val="0026345F"/>
    <w:rsid w:val="00270462"/>
    <w:rsid w:val="002969D9"/>
    <w:rsid w:val="00296BA2"/>
    <w:rsid w:val="00296F4E"/>
    <w:rsid w:val="002B2D13"/>
    <w:rsid w:val="002B5355"/>
    <w:rsid w:val="002E08D5"/>
    <w:rsid w:val="002E7343"/>
    <w:rsid w:val="002E7735"/>
    <w:rsid w:val="002F3C4D"/>
    <w:rsid w:val="002F481B"/>
    <w:rsid w:val="002F4FD8"/>
    <w:rsid w:val="003000B9"/>
    <w:rsid w:val="00300F78"/>
    <w:rsid w:val="0030658E"/>
    <w:rsid w:val="00307B16"/>
    <w:rsid w:val="00315CE0"/>
    <w:rsid w:val="003171DC"/>
    <w:rsid w:val="00331B4C"/>
    <w:rsid w:val="00335752"/>
    <w:rsid w:val="003363D2"/>
    <w:rsid w:val="003417C0"/>
    <w:rsid w:val="0034556E"/>
    <w:rsid w:val="00345921"/>
    <w:rsid w:val="00351EEA"/>
    <w:rsid w:val="00360919"/>
    <w:rsid w:val="00373580"/>
    <w:rsid w:val="00382E32"/>
    <w:rsid w:val="003A616B"/>
    <w:rsid w:val="003B5D49"/>
    <w:rsid w:val="003B778C"/>
    <w:rsid w:val="003C7029"/>
    <w:rsid w:val="003C7869"/>
    <w:rsid w:val="003D247A"/>
    <w:rsid w:val="003E3B0F"/>
    <w:rsid w:val="003E789E"/>
    <w:rsid w:val="003F30D5"/>
    <w:rsid w:val="004136CA"/>
    <w:rsid w:val="004144AB"/>
    <w:rsid w:val="00415591"/>
    <w:rsid w:val="00415F20"/>
    <w:rsid w:val="00421C5D"/>
    <w:rsid w:val="00444E52"/>
    <w:rsid w:val="00444F08"/>
    <w:rsid w:val="00455A52"/>
    <w:rsid w:val="004667A6"/>
    <w:rsid w:val="00466B6A"/>
    <w:rsid w:val="00481CC5"/>
    <w:rsid w:val="0048543D"/>
    <w:rsid w:val="004918DC"/>
    <w:rsid w:val="004A1727"/>
    <w:rsid w:val="004B49A0"/>
    <w:rsid w:val="004B7CB7"/>
    <w:rsid w:val="004C2D7D"/>
    <w:rsid w:val="004D2C9E"/>
    <w:rsid w:val="004E16D3"/>
    <w:rsid w:val="004E2591"/>
    <w:rsid w:val="004E5168"/>
    <w:rsid w:val="004F1BAD"/>
    <w:rsid w:val="004F421F"/>
    <w:rsid w:val="00500262"/>
    <w:rsid w:val="00505F00"/>
    <w:rsid w:val="00513DDB"/>
    <w:rsid w:val="00520411"/>
    <w:rsid w:val="0052343E"/>
    <w:rsid w:val="005254BA"/>
    <w:rsid w:val="00525B38"/>
    <w:rsid w:val="0052701D"/>
    <w:rsid w:val="0053058E"/>
    <w:rsid w:val="005473E5"/>
    <w:rsid w:val="00556413"/>
    <w:rsid w:val="005625B1"/>
    <w:rsid w:val="005652D8"/>
    <w:rsid w:val="00570CA2"/>
    <w:rsid w:val="0057443C"/>
    <w:rsid w:val="00580690"/>
    <w:rsid w:val="00584A9E"/>
    <w:rsid w:val="00585F4D"/>
    <w:rsid w:val="0059262F"/>
    <w:rsid w:val="0059595C"/>
    <w:rsid w:val="005A32C0"/>
    <w:rsid w:val="005A3642"/>
    <w:rsid w:val="005A5551"/>
    <w:rsid w:val="005B6E3A"/>
    <w:rsid w:val="005B74CC"/>
    <w:rsid w:val="005C18E6"/>
    <w:rsid w:val="005C4B62"/>
    <w:rsid w:val="005D59AB"/>
    <w:rsid w:val="005E0043"/>
    <w:rsid w:val="005E574E"/>
    <w:rsid w:val="005E5F9B"/>
    <w:rsid w:val="005E63C8"/>
    <w:rsid w:val="005F397D"/>
    <w:rsid w:val="005F48AB"/>
    <w:rsid w:val="005F5EC0"/>
    <w:rsid w:val="005F65B3"/>
    <w:rsid w:val="00601E07"/>
    <w:rsid w:val="0060314D"/>
    <w:rsid w:val="0061048E"/>
    <w:rsid w:val="006105F7"/>
    <w:rsid w:val="00617203"/>
    <w:rsid w:val="0062203A"/>
    <w:rsid w:val="00631A06"/>
    <w:rsid w:val="00642B3B"/>
    <w:rsid w:val="0065322B"/>
    <w:rsid w:val="00653384"/>
    <w:rsid w:val="006551E9"/>
    <w:rsid w:val="0065583D"/>
    <w:rsid w:val="00664D91"/>
    <w:rsid w:val="00672066"/>
    <w:rsid w:val="006A0651"/>
    <w:rsid w:val="006A64BE"/>
    <w:rsid w:val="006A7830"/>
    <w:rsid w:val="006B3449"/>
    <w:rsid w:val="006B3EAC"/>
    <w:rsid w:val="006B6FC7"/>
    <w:rsid w:val="006C7856"/>
    <w:rsid w:val="006D2F42"/>
    <w:rsid w:val="006E0CA7"/>
    <w:rsid w:val="006E1314"/>
    <w:rsid w:val="006F1471"/>
    <w:rsid w:val="0070574F"/>
    <w:rsid w:val="00706136"/>
    <w:rsid w:val="00722346"/>
    <w:rsid w:val="00737099"/>
    <w:rsid w:val="00742347"/>
    <w:rsid w:val="00742413"/>
    <w:rsid w:val="00742AC7"/>
    <w:rsid w:val="007467E6"/>
    <w:rsid w:val="00750419"/>
    <w:rsid w:val="00753A24"/>
    <w:rsid w:val="0076411C"/>
    <w:rsid w:val="00770CA6"/>
    <w:rsid w:val="00770F8D"/>
    <w:rsid w:val="00781C03"/>
    <w:rsid w:val="00781D5A"/>
    <w:rsid w:val="00783A05"/>
    <w:rsid w:val="00787FA6"/>
    <w:rsid w:val="007A12E7"/>
    <w:rsid w:val="007A4E80"/>
    <w:rsid w:val="007B0657"/>
    <w:rsid w:val="007B3CDF"/>
    <w:rsid w:val="007C0766"/>
    <w:rsid w:val="007C1D7E"/>
    <w:rsid w:val="007E5C02"/>
    <w:rsid w:val="007E719C"/>
    <w:rsid w:val="007F0717"/>
    <w:rsid w:val="007F0EA5"/>
    <w:rsid w:val="00802C3C"/>
    <w:rsid w:val="00807360"/>
    <w:rsid w:val="00817B5E"/>
    <w:rsid w:val="00823C0B"/>
    <w:rsid w:val="0083107F"/>
    <w:rsid w:val="00861715"/>
    <w:rsid w:val="00874E48"/>
    <w:rsid w:val="00886BE2"/>
    <w:rsid w:val="00893267"/>
    <w:rsid w:val="008B6AB1"/>
    <w:rsid w:val="008D1FB4"/>
    <w:rsid w:val="008E035C"/>
    <w:rsid w:val="008E3424"/>
    <w:rsid w:val="008E34F2"/>
    <w:rsid w:val="008E6544"/>
    <w:rsid w:val="008E7338"/>
    <w:rsid w:val="008F4C75"/>
    <w:rsid w:val="009033A6"/>
    <w:rsid w:val="00904CD5"/>
    <w:rsid w:val="00904E57"/>
    <w:rsid w:val="0091018A"/>
    <w:rsid w:val="00924896"/>
    <w:rsid w:val="00924B25"/>
    <w:rsid w:val="009338BE"/>
    <w:rsid w:val="00944E9B"/>
    <w:rsid w:val="00946A2D"/>
    <w:rsid w:val="00957355"/>
    <w:rsid w:val="00967BF3"/>
    <w:rsid w:val="0097232B"/>
    <w:rsid w:val="00974508"/>
    <w:rsid w:val="00977B99"/>
    <w:rsid w:val="00983481"/>
    <w:rsid w:val="00983A4E"/>
    <w:rsid w:val="0099053D"/>
    <w:rsid w:val="009955FA"/>
    <w:rsid w:val="00997280"/>
    <w:rsid w:val="00997301"/>
    <w:rsid w:val="009A0065"/>
    <w:rsid w:val="009A280C"/>
    <w:rsid w:val="009A4D08"/>
    <w:rsid w:val="009A78F7"/>
    <w:rsid w:val="009B2521"/>
    <w:rsid w:val="009B356A"/>
    <w:rsid w:val="009B58FE"/>
    <w:rsid w:val="009D5552"/>
    <w:rsid w:val="009E19B6"/>
    <w:rsid w:val="009E76C9"/>
    <w:rsid w:val="009F4ECF"/>
    <w:rsid w:val="00A0011F"/>
    <w:rsid w:val="00A00A1E"/>
    <w:rsid w:val="00A02C90"/>
    <w:rsid w:val="00A06525"/>
    <w:rsid w:val="00A20984"/>
    <w:rsid w:val="00A21DB2"/>
    <w:rsid w:val="00A24827"/>
    <w:rsid w:val="00A24E12"/>
    <w:rsid w:val="00A27A61"/>
    <w:rsid w:val="00A31093"/>
    <w:rsid w:val="00A32653"/>
    <w:rsid w:val="00A37B6F"/>
    <w:rsid w:val="00A4399E"/>
    <w:rsid w:val="00A44174"/>
    <w:rsid w:val="00A54CBB"/>
    <w:rsid w:val="00A6046C"/>
    <w:rsid w:val="00A60B41"/>
    <w:rsid w:val="00A72674"/>
    <w:rsid w:val="00A7329F"/>
    <w:rsid w:val="00A7331E"/>
    <w:rsid w:val="00A81450"/>
    <w:rsid w:val="00A92D6D"/>
    <w:rsid w:val="00AA2C3F"/>
    <w:rsid w:val="00AA41C8"/>
    <w:rsid w:val="00AA6DA3"/>
    <w:rsid w:val="00AD1932"/>
    <w:rsid w:val="00AD2EB2"/>
    <w:rsid w:val="00AD30E3"/>
    <w:rsid w:val="00AD3DA8"/>
    <w:rsid w:val="00AF41AE"/>
    <w:rsid w:val="00AF47E5"/>
    <w:rsid w:val="00AF5F1A"/>
    <w:rsid w:val="00B047B0"/>
    <w:rsid w:val="00B051CF"/>
    <w:rsid w:val="00B066D8"/>
    <w:rsid w:val="00B100FB"/>
    <w:rsid w:val="00B10296"/>
    <w:rsid w:val="00B11BB1"/>
    <w:rsid w:val="00B13FC4"/>
    <w:rsid w:val="00B14B87"/>
    <w:rsid w:val="00B2190F"/>
    <w:rsid w:val="00B23CE7"/>
    <w:rsid w:val="00B279B8"/>
    <w:rsid w:val="00B27DA0"/>
    <w:rsid w:val="00B31818"/>
    <w:rsid w:val="00B35491"/>
    <w:rsid w:val="00B428BF"/>
    <w:rsid w:val="00B44498"/>
    <w:rsid w:val="00B5153E"/>
    <w:rsid w:val="00B60B11"/>
    <w:rsid w:val="00B623F1"/>
    <w:rsid w:val="00B646EE"/>
    <w:rsid w:val="00B80A96"/>
    <w:rsid w:val="00B9022E"/>
    <w:rsid w:val="00BA0247"/>
    <w:rsid w:val="00BA2445"/>
    <w:rsid w:val="00BC455F"/>
    <w:rsid w:val="00BC7D42"/>
    <w:rsid w:val="00BD4970"/>
    <w:rsid w:val="00BE1880"/>
    <w:rsid w:val="00BE3E49"/>
    <w:rsid w:val="00BE6EF1"/>
    <w:rsid w:val="00BF2776"/>
    <w:rsid w:val="00C14DBD"/>
    <w:rsid w:val="00C15D45"/>
    <w:rsid w:val="00C166F4"/>
    <w:rsid w:val="00C16FCD"/>
    <w:rsid w:val="00C209A4"/>
    <w:rsid w:val="00C21DC0"/>
    <w:rsid w:val="00C24952"/>
    <w:rsid w:val="00C315A3"/>
    <w:rsid w:val="00C31ABE"/>
    <w:rsid w:val="00C36CA6"/>
    <w:rsid w:val="00C6214E"/>
    <w:rsid w:val="00C62702"/>
    <w:rsid w:val="00C67696"/>
    <w:rsid w:val="00C72433"/>
    <w:rsid w:val="00C84CD7"/>
    <w:rsid w:val="00CA2891"/>
    <w:rsid w:val="00CB278F"/>
    <w:rsid w:val="00CB588C"/>
    <w:rsid w:val="00CB7131"/>
    <w:rsid w:val="00CB730D"/>
    <w:rsid w:val="00CC2ED6"/>
    <w:rsid w:val="00CC4134"/>
    <w:rsid w:val="00CD04A2"/>
    <w:rsid w:val="00CD2AB2"/>
    <w:rsid w:val="00CD3DE3"/>
    <w:rsid w:val="00CD6356"/>
    <w:rsid w:val="00CE70F0"/>
    <w:rsid w:val="00D03BA2"/>
    <w:rsid w:val="00D04762"/>
    <w:rsid w:val="00D06CA2"/>
    <w:rsid w:val="00D135A1"/>
    <w:rsid w:val="00D27687"/>
    <w:rsid w:val="00D27BB2"/>
    <w:rsid w:val="00D32CB3"/>
    <w:rsid w:val="00D37660"/>
    <w:rsid w:val="00D43766"/>
    <w:rsid w:val="00D44E0F"/>
    <w:rsid w:val="00D472B3"/>
    <w:rsid w:val="00D51130"/>
    <w:rsid w:val="00D53664"/>
    <w:rsid w:val="00D66CC7"/>
    <w:rsid w:val="00D672C3"/>
    <w:rsid w:val="00D80A6F"/>
    <w:rsid w:val="00D92C8A"/>
    <w:rsid w:val="00D94C22"/>
    <w:rsid w:val="00DA72CF"/>
    <w:rsid w:val="00DB482A"/>
    <w:rsid w:val="00DB5968"/>
    <w:rsid w:val="00DB673E"/>
    <w:rsid w:val="00DC0D5E"/>
    <w:rsid w:val="00DC3C37"/>
    <w:rsid w:val="00DC5DD1"/>
    <w:rsid w:val="00DC714F"/>
    <w:rsid w:val="00DD50FC"/>
    <w:rsid w:val="00DD5367"/>
    <w:rsid w:val="00DD76B0"/>
    <w:rsid w:val="00DE0C24"/>
    <w:rsid w:val="00DE1730"/>
    <w:rsid w:val="00DE2648"/>
    <w:rsid w:val="00DE624A"/>
    <w:rsid w:val="00E02696"/>
    <w:rsid w:val="00E052E9"/>
    <w:rsid w:val="00E06C91"/>
    <w:rsid w:val="00E07373"/>
    <w:rsid w:val="00E14FDA"/>
    <w:rsid w:val="00E21FDB"/>
    <w:rsid w:val="00E27486"/>
    <w:rsid w:val="00E45697"/>
    <w:rsid w:val="00E539B5"/>
    <w:rsid w:val="00E679B2"/>
    <w:rsid w:val="00E73FFE"/>
    <w:rsid w:val="00E860D9"/>
    <w:rsid w:val="00E90ED6"/>
    <w:rsid w:val="00E93B96"/>
    <w:rsid w:val="00E94B80"/>
    <w:rsid w:val="00E96748"/>
    <w:rsid w:val="00EA0ACD"/>
    <w:rsid w:val="00EA0CB5"/>
    <w:rsid w:val="00EA7F5B"/>
    <w:rsid w:val="00EB01E0"/>
    <w:rsid w:val="00EB53E2"/>
    <w:rsid w:val="00EC5F7D"/>
    <w:rsid w:val="00ED14C4"/>
    <w:rsid w:val="00ED3021"/>
    <w:rsid w:val="00ED6909"/>
    <w:rsid w:val="00EE2FB2"/>
    <w:rsid w:val="00EF5548"/>
    <w:rsid w:val="00EF7B88"/>
    <w:rsid w:val="00F07FE9"/>
    <w:rsid w:val="00F1314B"/>
    <w:rsid w:val="00F13DCB"/>
    <w:rsid w:val="00F1544B"/>
    <w:rsid w:val="00F1689C"/>
    <w:rsid w:val="00F21D12"/>
    <w:rsid w:val="00F30ECA"/>
    <w:rsid w:val="00F43152"/>
    <w:rsid w:val="00F4647D"/>
    <w:rsid w:val="00F475C6"/>
    <w:rsid w:val="00F47E7C"/>
    <w:rsid w:val="00F515B1"/>
    <w:rsid w:val="00F515F5"/>
    <w:rsid w:val="00F54A8D"/>
    <w:rsid w:val="00F6129D"/>
    <w:rsid w:val="00F612DA"/>
    <w:rsid w:val="00F70FC6"/>
    <w:rsid w:val="00F7174B"/>
    <w:rsid w:val="00F9535B"/>
    <w:rsid w:val="00FA037A"/>
    <w:rsid w:val="00FA32CF"/>
    <w:rsid w:val="00FA5CAE"/>
    <w:rsid w:val="00FB041A"/>
    <w:rsid w:val="00FB6C08"/>
    <w:rsid w:val="00FC0F73"/>
    <w:rsid w:val="00FC3157"/>
    <w:rsid w:val="00FD423B"/>
    <w:rsid w:val="00FD7018"/>
    <w:rsid w:val="00FE0927"/>
    <w:rsid w:val="00FE301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68B"/>
  <w15:docId w15:val="{39CCD6FC-0965-4210-B36B-A41997A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78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783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783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78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783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A0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529ED5E67454E8E7FF260F2342C80" ma:contentTypeVersion="16" ma:contentTypeDescription="Een nieuw document maken." ma:contentTypeScope="" ma:versionID="26f4799045017d3473043f8a1a9a6e43">
  <xsd:schema xmlns:xsd="http://www.w3.org/2001/XMLSchema" xmlns:xs="http://www.w3.org/2001/XMLSchema" xmlns:p="http://schemas.microsoft.com/office/2006/metadata/properties" xmlns:ns2="22dbe7fa-16ce-4dd0-bd7f-758202c9b29a" xmlns:ns3="ceeae0c4-f3ff-4153-af2f-582bafa5e89e" xmlns:ns4="9a9ec0f0-7796-43d0-ac1f-4c8c46ee0bd1" targetNamespace="http://schemas.microsoft.com/office/2006/metadata/properties" ma:root="true" ma:fieldsID="47205424b2221789c4de2a386141fde4" ns2:_="" ns3:_="" ns4:_="">
    <xsd:import namespace="22dbe7fa-16ce-4dd0-bd7f-758202c9b29a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be7fa-16ce-4dd0-bd7f-758202c9b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17500bd-80a0-4d6e-9d55-4d6c54212f62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be7fa-16ce-4dd0-bd7f-758202c9b29a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C903-8AB8-4A13-8689-7DD1B279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be7fa-16ce-4dd0-bd7f-758202c9b29a"/>
    <ds:schemaRef ds:uri="ceeae0c4-f3ff-4153-af2f-582bafa5e89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4DC31-0739-4C15-B076-F1A0253F6342}">
  <ds:schemaRefs>
    <ds:schemaRef ds:uri="http://schemas.microsoft.com/office/2006/metadata/properties"/>
    <ds:schemaRef ds:uri="http://schemas.microsoft.com/office/infopath/2007/PartnerControls"/>
    <ds:schemaRef ds:uri="22dbe7fa-16ce-4dd0-bd7f-758202c9b29a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4F7351FB-3E04-4A04-A376-B9B4463F0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FB4FA-E092-42E0-A140-BF4D8C20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</dc:creator>
  <cp:lastModifiedBy>Nathalie De Keyzer</cp:lastModifiedBy>
  <cp:revision>10</cp:revision>
  <cp:lastPrinted>2014-08-28T11:14:00Z</cp:lastPrinted>
  <dcterms:created xsi:type="dcterms:W3CDTF">2023-02-02T10:26:00Z</dcterms:created>
  <dcterms:modified xsi:type="dcterms:W3CDTF">2023-02-13T14:39:00Z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0x0101001277A7FFAE7F4C4884BBA2351F1B13A3</vt:lpwstr>
  </property>
  <property fmtid="{D5CDD505-2E9C-101B-9397-08002B2CF9AE}" pid="3" name="_dlc_DocIdItemGuid">
    <vt:lpwstr>c8ad4d7e-4ffe-4368-a4d4-fc44e81b564b</vt:lpwstr>
  </property>
  <property fmtid="{D5CDD505-2E9C-101B-9397-08002B2CF9AE}" pid="4" name="_docset_NoMedatataSyncRequired">
    <vt:lpwstr>False</vt:lpwstr>
  </property>
</Properties>
</file>