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1EB4F381" w:rsidR="00B11BB1" w:rsidRPr="000E649D" w:rsidRDefault="00A7331E" w:rsidP="00F515B1">
      <w:pPr>
        <w:jc w:val="both"/>
        <w:rPr>
          <w:rFonts w:ascii="Verdana" w:hAnsi="Verdana"/>
          <w:smallCaps/>
          <w:sz w:val="20"/>
          <w:lang w:val="nl-BE"/>
        </w:rPr>
      </w:pPr>
      <w:r>
        <w:rPr>
          <w:rFonts w:ascii="Verdana" w:hAnsi="Verdana"/>
          <w:b/>
          <w:smallCaps/>
          <w:sz w:val="20"/>
          <w:lang w:val="nl-BE"/>
        </w:rPr>
        <w:t>jo brouns</w:t>
      </w:r>
    </w:p>
    <w:p w14:paraId="3AC51690" w14:textId="1EEE70C2" w:rsidR="00B11BB1" w:rsidRPr="000E649D" w:rsidRDefault="00617203" w:rsidP="00F515B1">
      <w:pPr>
        <w:jc w:val="both"/>
        <w:rPr>
          <w:rFonts w:ascii="Verdana" w:hAnsi="Verdana"/>
          <w:smallCaps/>
          <w:sz w:val="20"/>
          <w:lang w:val="nl-BE"/>
        </w:rPr>
      </w:pPr>
      <w:proofErr w:type="spellStart"/>
      <w:r>
        <w:rPr>
          <w:rFonts w:ascii="Verdana" w:hAnsi="Verdana"/>
          <w:smallCaps/>
          <w:sz w:val="20"/>
          <w:lang w:val="nl-BE"/>
        </w:rPr>
        <w:t>vlaams</w:t>
      </w:r>
      <w:proofErr w:type="spellEnd"/>
      <w:r>
        <w:rPr>
          <w:rFonts w:ascii="Verdana" w:hAnsi="Verdana"/>
          <w:smallCaps/>
          <w:sz w:val="20"/>
          <w:lang w:val="nl-BE"/>
        </w:rPr>
        <w:t xml:space="preserve">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064CCFED"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B9202C">
        <w:rPr>
          <w:rFonts w:ascii="Verdana" w:hAnsi="Verdana"/>
          <w:sz w:val="20"/>
        </w:rPr>
        <w:t>317</w:t>
      </w:r>
      <w:r w:rsidR="00193714">
        <w:rPr>
          <w:rFonts w:ascii="Verdana" w:hAnsi="Verdana"/>
          <w:sz w:val="20"/>
        </w:rPr>
        <w:t xml:space="preserve"> </w:t>
      </w:r>
      <w:r w:rsidR="00B11BB1" w:rsidRPr="000E649D">
        <w:rPr>
          <w:rFonts w:ascii="Verdana" w:hAnsi="Verdana"/>
          <w:sz w:val="20"/>
        </w:rPr>
        <w:t xml:space="preserve">van </w:t>
      </w:r>
      <w:r w:rsidR="00B9202C">
        <w:rPr>
          <w:rFonts w:ascii="Verdana" w:hAnsi="Verdana"/>
          <w:sz w:val="20"/>
        </w:rPr>
        <w:t>24</w:t>
      </w:r>
      <w:r w:rsidR="00F9535B">
        <w:rPr>
          <w:rFonts w:ascii="Verdana" w:hAnsi="Verdana"/>
          <w:sz w:val="20"/>
        </w:rPr>
        <w:t xml:space="preserve"> januari 2023</w:t>
      </w:r>
    </w:p>
    <w:p w14:paraId="3AC51695" w14:textId="5D07017F"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proofErr w:type="spellStart"/>
      <w:r w:rsidR="00F9535B">
        <w:rPr>
          <w:rFonts w:ascii="Verdana" w:hAnsi="Verdana"/>
          <w:b/>
          <w:smallCaps/>
          <w:sz w:val="20"/>
          <w:lang w:val="nl-BE"/>
        </w:rPr>
        <w:t>stefaan</w:t>
      </w:r>
      <w:proofErr w:type="spellEnd"/>
      <w:r w:rsidR="00F9535B">
        <w:rPr>
          <w:rFonts w:ascii="Verdana" w:hAnsi="Verdana"/>
          <w:b/>
          <w:smallCaps/>
          <w:sz w:val="20"/>
          <w:lang w:val="nl-BE"/>
        </w:rPr>
        <w:t xml:space="preserve"> </w:t>
      </w:r>
      <w:proofErr w:type="spellStart"/>
      <w:r w:rsidR="00F9535B">
        <w:rPr>
          <w:rFonts w:ascii="Verdana" w:hAnsi="Verdana"/>
          <w:b/>
          <w:smallCaps/>
          <w:sz w:val="20"/>
          <w:lang w:val="nl-BE"/>
        </w:rPr>
        <w:t>sintobin</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2B3C542D" w14:textId="38775241" w:rsidR="001607C9" w:rsidRDefault="001607C9" w:rsidP="25F2F979">
      <w:pPr>
        <w:pStyle w:val="Lijstalinea"/>
        <w:numPr>
          <w:ilvl w:val="0"/>
          <w:numId w:val="5"/>
        </w:numPr>
        <w:jc w:val="both"/>
        <w:rPr>
          <w:rFonts w:ascii="Verdana" w:hAnsi="Verdana"/>
          <w:sz w:val="20"/>
        </w:rPr>
      </w:pPr>
      <w:r w:rsidRPr="25F2F979">
        <w:rPr>
          <w:rFonts w:ascii="Verdana" w:hAnsi="Verdana"/>
          <w:sz w:val="20"/>
        </w:rPr>
        <w:t xml:space="preserve">De </w:t>
      </w:r>
      <w:r w:rsidR="00800B4F" w:rsidRPr="25F2F979">
        <w:rPr>
          <w:rFonts w:ascii="Verdana" w:hAnsi="Verdana"/>
          <w:sz w:val="20"/>
        </w:rPr>
        <w:t xml:space="preserve">infrastructuur </w:t>
      </w:r>
      <w:r w:rsidRPr="25F2F979">
        <w:rPr>
          <w:rFonts w:ascii="Verdana" w:hAnsi="Verdana"/>
          <w:sz w:val="20"/>
        </w:rPr>
        <w:t xml:space="preserve">van </w:t>
      </w:r>
      <w:proofErr w:type="spellStart"/>
      <w:r w:rsidRPr="25F2F979">
        <w:rPr>
          <w:rFonts w:ascii="Verdana" w:hAnsi="Verdana"/>
          <w:sz w:val="20"/>
        </w:rPr>
        <w:t>Muyuan</w:t>
      </w:r>
      <w:proofErr w:type="spellEnd"/>
      <w:r w:rsidRPr="25F2F979">
        <w:rPr>
          <w:rFonts w:ascii="Verdana" w:hAnsi="Verdana"/>
          <w:sz w:val="20"/>
        </w:rPr>
        <w:t xml:space="preserve"> Foods is een voorbeeld van de enorme investeringen die in de Chinese varkensproductie gebeuren nadat Afrikaanse varkenspest (AVP) een ware ravage aanrichtte sinds midden 2018. Die dierziekte leidde tot een dramatische krimp van de Chinese varkensstapel en varkensvleesproductie. </w:t>
      </w:r>
    </w:p>
    <w:p w14:paraId="70B0C5EB" w14:textId="77777777" w:rsidR="001607C9" w:rsidRDefault="001607C9" w:rsidP="001607C9">
      <w:pPr>
        <w:pStyle w:val="Lijstalinea"/>
        <w:ind w:left="360"/>
        <w:jc w:val="both"/>
        <w:rPr>
          <w:rFonts w:ascii="Verdana" w:hAnsi="Verdana"/>
          <w:sz w:val="20"/>
        </w:rPr>
      </w:pPr>
    </w:p>
    <w:p w14:paraId="37491032" w14:textId="2642D180" w:rsidR="00856CFB" w:rsidRPr="001607C9" w:rsidRDefault="00856CFB" w:rsidP="00B17644">
      <w:pPr>
        <w:pStyle w:val="Lijstalinea"/>
        <w:ind w:left="360"/>
        <w:jc w:val="both"/>
      </w:pPr>
      <w:r w:rsidRPr="00856CFB">
        <w:rPr>
          <w:rFonts w:ascii="Verdana" w:hAnsi="Verdana"/>
          <w:sz w:val="20"/>
        </w:rPr>
        <w:t>De opschaling heeft geen rechtstreekse gevolgen voor de Vlaamse varkenssector. Er zijn wel indirecte gevolgen</w:t>
      </w:r>
      <w:r w:rsidR="001607C9">
        <w:rPr>
          <w:rFonts w:ascii="Verdana" w:hAnsi="Verdana"/>
          <w:sz w:val="20"/>
        </w:rPr>
        <w:t xml:space="preserve"> voor Vlaanderen</w:t>
      </w:r>
      <w:r w:rsidRPr="001607C9">
        <w:t>:</w:t>
      </w:r>
    </w:p>
    <w:p w14:paraId="317D6364" w14:textId="10B771D4" w:rsidR="00856CFB" w:rsidRPr="00856CFB" w:rsidRDefault="00E242E1" w:rsidP="25F2F979">
      <w:pPr>
        <w:pStyle w:val="Lijstalinea"/>
        <w:numPr>
          <w:ilvl w:val="0"/>
          <w:numId w:val="19"/>
        </w:numPr>
        <w:jc w:val="both"/>
        <w:rPr>
          <w:rFonts w:ascii="Verdana" w:hAnsi="Verdana"/>
          <w:sz w:val="20"/>
        </w:rPr>
      </w:pPr>
      <w:r w:rsidRPr="25F2F979">
        <w:rPr>
          <w:rFonts w:ascii="Verdana" w:hAnsi="Verdana"/>
          <w:sz w:val="20"/>
        </w:rPr>
        <w:t>h</w:t>
      </w:r>
      <w:r w:rsidR="00856CFB" w:rsidRPr="25F2F979">
        <w:rPr>
          <w:rFonts w:ascii="Verdana" w:hAnsi="Verdana"/>
          <w:sz w:val="20"/>
        </w:rPr>
        <w:t>et resultaat van dit soort enorme investeringen is dat de Chinese productie snel en ook sneller dan verwacht herstelt en weer op niveau van voor de AVP-uitbraken komt. De invoervraag</w:t>
      </w:r>
      <w:r w:rsidR="00851969" w:rsidRPr="25F2F979">
        <w:rPr>
          <w:rFonts w:ascii="Verdana" w:hAnsi="Verdana"/>
          <w:sz w:val="20"/>
        </w:rPr>
        <w:t xml:space="preserve"> van China</w:t>
      </w:r>
      <w:r w:rsidR="00856CFB" w:rsidRPr="25F2F979">
        <w:rPr>
          <w:rFonts w:ascii="Verdana" w:hAnsi="Verdana"/>
          <w:sz w:val="20"/>
        </w:rPr>
        <w:t xml:space="preserve">, die piekte in </w:t>
      </w:r>
      <w:r w:rsidR="001607C9" w:rsidRPr="25F2F979">
        <w:rPr>
          <w:rFonts w:ascii="Verdana" w:hAnsi="Verdana"/>
          <w:sz w:val="20"/>
        </w:rPr>
        <w:t xml:space="preserve">2020 en 2021 </w:t>
      </w:r>
      <w:r w:rsidR="00856CFB" w:rsidRPr="25F2F979">
        <w:rPr>
          <w:rFonts w:ascii="Verdana" w:hAnsi="Verdana"/>
          <w:sz w:val="20"/>
        </w:rPr>
        <w:t xml:space="preserve">is in </w:t>
      </w:r>
      <w:r w:rsidR="001607C9" w:rsidRPr="25F2F979">
        <w:rPr>
          <w:rFonts w:ascii="Verdana" w:hAnsi="Verdana"/>
          <w:sz w:val="20"/>
        </w:rPr>
        <w:t xml:space="preserve">2022 </w:t>
      </w:r>
      <w:r w:rsidR="00856CFB" w:rsidRPr="25F2F979">
        <w:rPr>
          <w:rFonts w:ascii="Verdana" w:hAnsi="Verdana"/>
          <w:sz w:val="20"/>
        </w:rPr>
        <w:t>duidelijk verzwakt. Vanuit de EU, en dan vooral uit Spanje, daalde het exportvolume in 2022. In 2023 zou de invoervraag opnieuw wat kunnen aantrekken, naarmate de Chinese economie herstelt</w:t>
      </w:r>
      <w:r w:rsidRPr="25F2F979">
        <w:rPr>
          <w:rFonts w:ascii="Verdana" w:hAnsi="Verdana"/>
          <w:sz w:val="20"/>
        </w:rPr>
        <w:t>;</w:t>
      </w:r>
    </w:p>
    <w:p w14:paraId="325ABE2F" w14:textId="68969380" w:rsidR="00856CFB" w:rsidRPr="00856CFB" w:rsidRDefault="00E242E1" w:rsidP="25F2F979">
      <w:pPr>
        <w:pStyle w:val="Lijstalinea"/>
        <w:numPr>
          <w:ilvl w:val="0"/>
          <w:numId w:val="19"/>
        </w:numPr>
        <w:jc w:val="both"/>
        <w:rPr>
          <w:rFonts w:ascii="Verdana" w:hAnsi="Verdana"/>
          <w:sz w:val="20"/>
        </w:rPr>
      </w:pPr>
      <w:r w:rsidRPr="25F2F979">
        <w:rPr>
          <w:rFonts w:ascii="Verdana" w:hAnsi="Verdana"/>
          <w:sz w:val="20"/>
        </w:rPr>
        <w:t>d</w:t>
      </w:r>
      <w:r w:rsidR="00856CFB" w:rsidRPr="25F2F979">
        <w:rPr>
          <w:rFonts w:ascii="Verdana" w:hAnsi="Verdana"/>
          <w:sz w:val="20"/>
        </w:rPr>
        <w:t xml:space="preserve">e sterke industrialisering van de Chinese varkensproductie leidt tot een fors gestegen vraag naar grondstoffen voor voeders. De moderne productie in China haalt daarbij lang niet de lage conversiegraad van bij ons. China zuigt enorme volumes grondstoffen naar zich toe. Dit </w:t>
      </w:r>
      <w:r w:rsidRPr="25F2F979">
        <w:rPr>
          <w:rFonts w:ascii="Verdana" w:hAnsi="Verdana"/>
          <w:sz w:val="20"/>
        </w:rPr>
        <w:t xml:space="preserve">leidt </w:t>
      </w:r>
      <w:r w:rsidR="00856CFB" w:rsidRPr="25F2F979">
        <w:rPr>
          <w:rFonts w:ascii="Verdana" w:hAnsi="Verdana"/>
          <w:sz w:val="20"/>
        </w:rPr>
        <w:t xml:space="preserve">wereldwijd tot </w:t>
      </w:r>
      <w:r w:rsidRPr="25F2F979">
        <w:rPr>
          <w:rFonts w:ascii="Verdana" w:hAnsi="Verdana"/>
          <w:sz w:val="20"/>
        </w:rPr>
        <w:t xml:space="preserve">een </w:t>
      </w:r>
      <w:r w:rsidR="00856CFB" w:rsidRPr="25F2F979">
        <w:rPr>
          <w:rFonts w:ascii="Verdana" w:hAnsi="Verdana"/>
          <w:sz w:val="20"/>
        </w:rPr>
        <w:t xml:space="preserve">stijging van </w:t>
      </w:r>
      <w:r w:rsidRPr="25F2F979">
        <w:rPr>
          <w:rFonts w:ascii="Verdana" w:hAnsi="Verdana"/>
          <w:sz w:val="20"/>
        </w:rPr>
        <w:t xml:space="preserve">de </w:t>
      </w:r>
      <w:r w:rsidR="00856CFB" w:rsidRPr="25F2F979">
        <w:rPr>
          <w:rFonts w:ascii="Verdana" w:hAnsi="Verdana"/>
          <w:sz w:val="20"/>
        </w:rPr>
        <w:t>prijzen voor voedergranen.</w:t>
      </w:r>
    </w:p>
    <w:p w14:paraId="7ACDD334" w14:textId="77777777" w:rsidR="00334F2C" w:rsidRDefault="00334F2C" w:rsidP="00B17644">
      <w:pPr>
        <w:pStyle w:val="Lijstalinea"/>
        <w:ind w:left="360"/>
        <w:jc w:val="both"/>
        <w:rPr>
          <w:rFonts w:ascii="Verdana" w:hAnsi="Verdana"/>
          <w:sz w:val="20"/>
        </w:rPr>
      </w:pPr>
    </w:p>
    <w:p w14:paraId="13B57AB5" w14:textId="058457F3" w:rsidR="001607C9" w:rsidRDefault="00856CFB" w:rsidP="001607C9">
      <w:pPr>
        <w:pStyle w:val="Lijstalinea"/>
        <w:ind w:left="360"/>
        <w:jc w:val="both"/>
        <w:rPr>
          <w:rFonts w:ascii="Verdana" w:hAnsi="Verdana"/>
          <w:sz w:val="20"/>
        </w:rPr>
      </w:pPr>
      <w:r w:rsidRPr="00856CFB">
        <w:rPr>
          <w:rFonts w:ascii="Verdana" w:hAnsi="Verdana"/>
          <w:sz w:val="20"/>
        </w:rPr>
        <w:t xml:space="preserve">VLAM promoot het Vlaamse varkensvlees binnen en buiten de EU. Vooral de kwaliteit en het vakmanschap van de Vlaamse producenten worden in de verf gezet. Onze thuismarkt, de interne markt, krijgt daarbij veel aandacht, maar ook buiten de Unie zoekt VLAM naar mogelijkheden. De doellanden zijn onder meer Vietnam, en de opnieuw geopende markten, zoals bijvoorbeeld Zuid-Korea, de Filippijnen, Zuid-Afrika en Japan. Maar ook minder voor de hand liggende bestemmingen worden geprospecteerd, zoals een aantal andere Afrikaanse landen en India. Dit zijn landen die als alternatief voor China en Taiwan kunnen gelden, </w:t>
      </w:r>
      <w:r w:rsidR="00851969">
        <w:rPr>
          <w:rFonts w:ascii="Verdana" w:hAnsi="Verdana"/>
          <w:sz w:val="20"/>
        </w:rPr>
        <w:t>w</w:t>
      </w:r>
      <w:r w:rsidRPr="00856CFB">
        <w:rPr>
          <w:rFonts w:ascii="Verdana" w:hAnsi="Verdana"/>
          <w:sz w:val="20"/>
        </w:rPr>
        <w:t xml:space="preserve">aar de koopkracht en dus de prijzen beduidend lager </w:t>
      </w:r>
      <w:r w:rsidR="00851969">
        <w:rPr>
          <w:rFonts w:ascii="Verdana" w:hAnsi="Verdana"/>
          <w:sz w:val="20"/>
        </w:rPr>
        <w:t xml:space="preserve">liggen </w:t>
      </w:r>
      <w:r w:rsidRPr="00856CFB">
        <w:rPr>
          <w:rFonts w:ascii="Verdana" w:hAnsi="Verdana"/>
          <w:sz w:val="20"/>
        </w:rPr>
        <w:t>dan in China.</w:t>
      </w:r>
    </w:p>
    <w:p w14:paraId="362F9007" w14:textId="6025BD3E" w:rsidR="003C7869" w:rsidRPr="00856CFB" w:rsidRDefault="003C7869" w:rsidP="00E579B7">
      <w:pPr>
        <w:pStyle w:val="StijlStandaardSVVerdana10ptCursiefLinks-175cm"/>
        <w:ind w:left="360"/>
        <w:rPr>
          <w:rFonts w:eastAsia="Calibri"/>
          <w:i w:val="0"/>
          <w:lang w:val="nl-BE" w:eastAsia="en-US"/>
        </w:rPr>
      </w:pPr>
    </w:p>
    <w:p w14:paraId="01D73EA2" w14:textId="0C0ECEA5" w:rsidR="003C7869" w:rsidRDefault="00536592" w:rsidP="00B17644">
      <w:pPr>
        <w:pStyle w:val="StijlStandaardSVVerdana10ptCursiefLinks-175cm"/>
        <w:numPr>
          <w:ilvl w:val="0"/>
          <w:numId w:val="5"/>
        </w:numPr>
        <w:rPr>
          <w:rFonts w:eastAsia="Calibri"/>
          <w:i w:val="0"/>
          <w:lang w:val="nl-BE" w:eastAsia="en-US"/>
        </w:rPr>
      </w:pPr>
      <w:r w:rsidRPr="25F2F979">
        <w:rPr>
          <w:rFonts w:eastAsia="Calibri"/>
          <w:i w:val="0"/>
          <w:iCs w:val="0"/>
          <w:lang w:val="nl-BE" w:eastAsia="en-US"/>
        </w:rPr>
        <w:t>De voornaamste landen die nog steeds een embargo hebben ingesteld tegen de invoer van varkensvlees uit België zijn Vietnam</w:t>
      </w:r>
      <w:r w:rsidR="005A7B98" w:rsidRPr="25F2F979">
        <w:rPr>
          <w:rFonts w:eastAsia="Calibri"/>
          <w:i w:val="0"/>
          <w:iCs w:val="0"/>
          <w:lang w:val="nl-BE" w:eastAsia="en-US"/>
        </w:rPr>
        <w:t xml:space="preserve"> en</w:t>
      </w:r>
      <w:r w:rsidRPr="25F2F979">
        <w:rPr>
          <w:rFonts w:eastAsia="Calibri"/>
          <w:i w:val="0"/>
          <w:iCs w:val="0"/>
          <w:lang w:val="nl-BE" w:eastAsia="en-US"/>
        </w:rPr>
        <w:t xml:space="preserve"> China. Het </w:t>
      </w:r>
      <w:r w:rsidR="00851969" w:rsidRPr="25F2F979">
        <w:rPr>
          <w:rFonts w:eastAsia="Calibri"/>
          <w:i w:val="0"/>
          <w:iCs w:val="0"/>
          <w:lang w:val="nl-BE" w:eastAsia="en-US"/>
        </w:rPr>
        <w:t>Federaal Agentschap voor de Veiligheid van de Voedselketen (</w:t>
      </w:r>
      <w:r w:rsidRPr="25F2F979">
        <w:rPr>
          <w:rFonts w:eastAsia="Calibri"/>
          <w:i w:val="0"/>
          <w:iCs w:val="0"/>
          <w:lang w:val="nl-BE" w:eastAsia="en-US"/>
        </w:rPr>
        <w:t>FAVV</w:t>
      </w:r>
      <w:r w:rsidR="00851969" w:rsidRPr="25F2F979">
        <w:rPr>
          <w:rFonts w:eastAsia="Calibri"/>
          <w:i w:val="0"/>
          <w:iCs w:val="0"/>
          <w:lang w:val="nl-BE" w:eastAsia="en-US"/>
        </w:rPr>
        <w:t>)</w:t>
      </w:r>
      <w:r w:rsidRPr="25F2F979">
        <w:rPr>
          <w:rFonts w:eastAsia="Calibri"/>
          <w:i w:val="0"/>
          <w:iCs w:val="0"/>
          <w:lang w:val="nl-BE" w:eastAsia="en-US"/>
        </w:rPr>
        <w:t xml:space="preserve"> volgt de besprekingen op</w:t>
      </w:r>
      <w:r w:rsidR="00E242E1" w:rsidRPr="25F2F979">
        <w:rPr>
          <w:rFonts w:eastAsia="Calibri"/>
          <w:i w:val="0"/>
          <w:iCs w:val="0"/>
          <w:lang w:val="nl-BE" w:eastAsia="en-US"/>
        </w:rPr>
        <w:t>,</w:t>
      </w:r>
      <w:r w:rsidRPr="25F2F979">
        <w:rPr>
          <w:rFonts w:eastAsia="Calibri"/>
          <w:i w:val="0"/>
          <w:iCs w:val="0"/>
          <w:lang w:val="nl-BE" w:eastAsia="en-US"/>
        </w:rPr>
        <w:t xml:space="preserve"> maar voorlopig zit er weinig beweging in deze dossiers doordat de embargo’s eerder op politiek niveau vastzitten.</w:t>
      </w:r>
    </w:p>
    <w:p w14:paraId="249785AE" w14:textId="77777777" w:rsidR="00334F2C" w:rsidRDefault="00334F2C" w:rsidP="00F9535B">
      <w:pPr>
        <w:pStyle w:val="StijlStandaardSVVerdana10ptCursiefLinks-175cm"/>
        <w:ind w:left="360"/>
        <w:jc w:val="left"/>
        <w:rPr>
          <w:rFonts w:eastAsia="Calibri"/>
          <w:i w:val="0"/>
          <w:lang w:val="nl-BE" w:eastAsia="en-US"/>
        </w:rPr>
      </w:pPr>
    </w:p>
    <w:p w14:paraId="54CDAED9" w14:textId="7880709F" w:rsidR="00251506" w:rsidRPr="00251506" w:rsidRDefault="00650147" w:rsidP="00650147">
      <w:pPr>
        <w:pStyle w:val="StijlStandaardSVVerdana10ptCursiefLinks-175cm"/>
        <w:numPr>
          <w:ilvl w:val="0"/>
          <w:numId w:val="5"/>
        </w:numPr>
        <w:rPr>
          <w:rFonts w:eastAsia="Calibri"/>
          <w:i w:val="0"/>
          <w:lang w:val="nl-BE" w:eastAsia="en-US"/>
        </w:rPr>
      </w:pPr>
      <w:r w:rsidRPr="25F2F979">
        <w:rPr>
          <w:rFonts w:eastAsia="Calibri"/>
          <w:i w:val="0"/>
          <w:iCs w:val="0"/>
          <w:lang w:val="nl-BE" w:eastAsia="en-US"/>
        </w:rPr>
        <w:t>Bijlage</w:t>
      </w:r>
      <w:r w:rsidR="00A22C2A" w:rsidRPr="25F2F979">
        <w:rPr>
          <w:rFonts w:eastAsia="Calibri"/>
          <w:i w:val="0"/>
          <w:iCs w:val="0"/>
          <w:lang w:val="nl-BE" w:eastAsia="en-US"/>
        </w:rPr>
        <w:t xml:space="preserve"> 1 geeft de Vlaamse exportcijfers van varkensvlees in de eerste 10 maanden van het jaar weer, </w:t>
      </w:r>
      <w:r w:rsidR="00EE3D28" w:rsidRPr="25F2F979">
        <w:rPr>
          <w:rFonts w:eastAsia="Calibri"/>
          <w:i w:val="0"/>
          <w:iCs w:val="0"/>
          <w:lang w:val="nl-BE" w:eastAsia="en-US"/>
        </w:rPr>
        <w:t xml:space="preserve">uitgedrukt </w:t>
      </w:r>
      <w:r w:rsidR="00A22C2A" w:rsidRPr="25F2F979">
        <w:rPr>
          <w:rFonts w:eastAsia="Calibri"/>
          <w:i w:val="0"/>
          <w:iCs w:val="0"/>
          <w:lang w:val="nl-BE" w:eastAsia="en-US"/>
        </w:rPr>
        <w:t xml:space="preserve">in kg, voor de periode 2014-2022. Deze </w:t>
      </w:r>
      <w:r w:rsidR="00251506" w:rsidRPr="25F2F979">
        <w:rPr>
          <w:rFonts w:eastAsia="Calibri"/>
          <w:i w:val="0"/>
          <w:iCs w:val="0"/>
          <w:lang w:val="nl-BE" w:eastAsia="en-US"/>
        </w:rPr>
        <w:t>cijfers zijn gebaseerd op de Vlaamse gegevens (vanaf 2014) ter beschikking gesteld door de Nationale Bank van België. Omdat we voor 2022 enkel over de eerste 10 maanden beschikken, hebben we voor de eerdere jaren enkel met dezelfde periode rekening gehouden.</w:t>
      </w:r>
    </w:p>
    <w:p w14:paraId="02032B02" w14:textId="4A43052C" w:rsidR="00251506" w:rsidRDefault="00493E68" w:rsidP="00493E68">
      <w:pPr>
        <w:pStyle w:val="StijlStandaardSVVerdana10ptCursiefLinks-175cm"/>
        <w:ind w:left="360"/>
        <w:rPr>
          <w:rFonts w:eastAsia="Calibri"/>
          <w:i w:val="0"/>
          <w:lang w:val="nl-BE" w:eastAsia="en-US"/>
        </w:rPr>
      </w:pPr>
      <w:r>
        <w:rPr>
          <w:rFonts w:eastAsia="Calibri"/>
          <w:i w:val="0"/>
          <w:lang w:val="nl-BE" w:eastAsia="en-US"/>
        </w:rPr>
        <w:t xml:space="preserve">Hieruit </w:t>
      </w:r>
      <w:r w:rsidR="00251506">
        <w:rPr>
          <w:rFonts w:eastAsia="Calibri"/>
          <w:i w:val="0"/>
          <w:lang w:val="nl-BE" w:eastAsia="en-US"/>
        </w:rPr>
        <w:t>blijkt dat de exporthoeveelheid in 2022 duidelijk lager ligt dan voorgaande jaren.</w:t>
      </w:r>
    </w:p>
    <w:p w14:paraId="3F94BACD" w14:textId="4846ACE1" w:rsidR="00A22C2A" w:rsidRDefault="00A22C2A" w:rsidP="00251506">
      <w:pPr>
        <w:pStyle w:val="StijlStandaardSVVerdana10ptCursiefLinks-175cm"/>
        <w:ind w:left="360"/>
        <w:jc w:val="left"/>
        <w:rPr>
          <w:rFonts w:eastAsia="Calibri"/>
          <w:i w:val="0"/>
          <w:lang w:val="nl-BE" w:eastAsia="en-US"/>
        </w:rPr>
      </w:pPr>
    </w:p>
    <w:p w14:paraId="5A631FA3" w14:textId="3CAFF2C4" w:rsidR="00A22C2A" w:rsidRDefault="00650147" w:rsidP="006944FC">
      <w:pPr>
        <w:pStyle w:val="StijlStandaardSVVerdana10ptCursiefLinks-175cm"/>
        <w:ind w:left="360"/>
        <w:rPr>
          <w:rFonts w:eastAsia="Calibri"/>
          <w:i w:val="0"/>
          <w:lang w:val="nl-BE" w:eastAsia="en-US"/>
        </w:rPr>
      </w:pPr>
      <w:r>
        <w:rPr>
          <w:rFonts w:eastAsia="Calibri"/>
          <w:i w:val="0"/>
          <w:lang w:val="nl-BE" w:eastAsia="en-US"/>
        </w:rPr>
        <w:t>Bijlage</w:t>
      </w:r>
      <w:r w:rsidR="00A22C2A" w:rsidRPr="00A22C2A">
        <w:rPr>
          <w:rFonts w:eastAsia="Calibri"/>
          <w:i w:val="0"/>
          <w:lang w:val="nl-BE" w:eastAsia="en-US"/>
        </w:rPr>
        <w:t xml:space="preserve"> 2</w:t>
      </w:r>
      <w:r w:rsidR="00A22C2A">
        <w:rPr>
          <w:rFonts w:eastAsia="Calibri"/>
          <w:i w:val="0"/>
          <w:lang w:val="nl-BE" w:eastAsia="en-US"/>
        </w:rPr>
        <w:t xml:space="preserve"> somt de</w:t>
      </w:r>
      <w:r w:rsidR="00A22C2A" w:rsidRPr="00A22C2A">
        <w:rPr>
          <w:rFonts w:eastAsia="Calibri"/>
          <w:i w:val="0"/>
          <w:lang w:val="nl-BE" w:eastAsia="en-US"/>
        </w:rPr>
        <w:t xml:space="preserve"> </w:t>
      </w:r>
      <w:r w:rsidR="00A22C2A">
        <w:rPr>
          <w:rFonts w:eastAsia="Calibri"/>
          <w:i w:val="0"/>
          <w:lang w:val="nl-BE" w:eastAsia="en-US"/>
        </w:rPr>
        <w:t>b</w:t>
      </w:r>
      <w:r w:rsidR="00A22C2A" w:rsidRPr="00A22C2A">
        <w:rPr>
          <w:rFonts w:eastAsia="Calibri"/>
          <w:i w:val="0"/>
          <w:lang w:val="nl-BE" w:eastAsia="en-US"/>
        </w:rPr>
        <w:t>elangrijkste landen</w:t>
      </w:r>
      <w:r w:rsidR="007C06AA">
        <w:rPr>
          <w:rFonts w:eastAsia="Calibri"/>
          <w:i w:val="0"/>
          <w:lang w:val="nl-BE" w:eastAsia="en-US"/>
        </w:rPr>
        <w:t xml:space="preserve"> op</w:t>
      </w:r>
      <w:r w:rsidR="00A22C2A" w:rsidRPr="00A22C2A">
        <w:rPr>
          <w:rFonts w:eastAsia="Calibri"/>
          <w:i w:val="0"/>
          <w:lang w:val="nl-BE" w:eastAsia="en-US"/>
        </w:rPr>
        <w:t xml:space="preserve"> voor de Vlaamse export van varkensvlees in de eerste 10 maanden van 2022, </w:t>
      </w:r>
      <w:r w:rsidR="007C06AA">
        <w:rPr>
          <w:rFonts w:eastAsia="Calibri"/>
          <w:i w:val="0"/>
          <w:lang w:val="nl-BE" w:eastAsia="en-US"/>
        </w:rPr>
        <w:t xml:space="preserve">met vermelding van het </w:t>
      </w:r>
      <w:r w:rsidR="00493E68">
        <w:rPr>
          <w:rFonts w:eastAsia="Calibri"/>
          <w:i w:val="0"/>
          <w:lang w:val="nl-BE" w:eastAsia="en-US"/>
        </w:rPr>
        <w:t xml:space="preserve">aandeel in de </w:t>
      </w:r>
      <w:r w:rsidR="00A22C2A" w:rsidRPr="00A22C2A">
        <w:rPr>
          <w:rFonts w:eastAsia="Calibri"/>
          <w:i w:val="0"/>
          <w:lang w:val="nl-BE" w:eastAsia="en-US"/>
        </w:rPr>
        <w:t xml:space="preserve">totale </w:t>
      </w:r>
      <w:r w:rsidR="00493E68">
        <w:rPr>
          <w:rFonts w:eastAsia="Calibri"/>
          <w:i w:val="0"/>
          <w:lang w:val="nl-BE" w:eastAsia="en-US"/>
        </w:rPr>
        <w:t xml:space="preserve">Vlaamse </w:t>
      </w:r>
      <w:r w:rsidR="00A22C2A" w:rsidRPr="00A22C2A">
        <w:rPr>
          <w:rFonts w:eastAsia="Calibri"/>
          <w:i w:val="0"/>
          <w:lang w:val="nl-BE" w:eastAsia="en-US"/>
        </w:rPr>
        <w:t>export van varkensvlees.</w:t>
      </w:r>
    </w:p>
    <w:p w14:paraId="1131FB6F" w14:textId="77777777" w:rsidR="00AA0AA2" w:rsidRDefault="00AA0AA2" w:rsidP="00EB15AC">
      <w:pPr>
        <w:pStyle w:val="StijlStandaardSVVerdana10ptCursiefLinks-175cm"/>
        <w:ind w:left="360"/>
        <w:jc w:val="left"/>
        <w:rPr>
          <w:rFonts w:eastAsia="Calibri"/>
          <w:i w:val="0"/>
          <w:lang w:val="nl-BE" w:eastAsia="en-US"/>
        </w:rPr>
      </w:pPr>
    </w:p>
    <w:p w14:paraId="64BE508A" w14:textId="25C21390" w:rsidR="007C06AA" w:rsidRDefault="00650147" w:rsidP="00EE3D28">
      <w:pPr>
        <w:pStyle w:val="StijlStandaardSVVerdana10ptCursiefLinks-175cm"/>
        <w:ind w:left="360"/>
        <w:rPr>
          <w:rFonts w:eastAsia="Calibri"/>
          <w:i w:val="0"/>
          <w:lang w:val="nl-BE" w:eastAsia="en-US"/>
        </w:rPr>
      </w:pPr>
      <w:r>
        <w:rPr>
          <w:rFonts w:eastAsia="Calibri"/>
          <w:i w:val="0"/>
          <w:lang w:val="nl-BE" w:eastAsia="en-US"/>
        </w:rPr>
        <w:lastRenderedPageBreak/>
        <w:t>Bijlage</w:t>
      </w:r>
      <w:r w:rsidR="007C06AA">
        <w:rPr>
          <w:rFonts w:eastAsia="Calibri"/>
          <w:i w:val="0"/>
          <w:lang w:val="nl-BE" w:eastAsia="en-US"/>
        </w:rPr>
        <w:t xml:space="preserve"> 3 toont de</w:t>
      </w:r>
      <w:r w:rsidR="007C06AA" w:rsidRPr="007C06AA">
        <w:rPr>
          <w:rFonts w:eastAsia="Calibri"/>
          <w:i w:val="0"/>
          <w:lang w:val="nl-BE" w:eastAsia="en-US"/>
        </w:rPr>
        <w:t xml:space="preserve"> </w:t>
      </w:r>
      <w:r w:rsidR="00EE3D28">
        <w:rPr>
          <w:rFonts w:eastAsia="Calibri"/>
          <w:i w:val="0"/>
          <w:lang w:val="nl-BE" w:eastAsia="en-US"/>
        </w:rPr>
        <w:t xml:space="preserve">jaarlijkse </w:t>
      </w:r>
      <w:r w:rsidR="007C06AA" w:rsidRPr="007C06AA">
        <w:rPr>
          <w:rFonts w:eastAsia="Calibri"/>
          <w:i w:val="0"/>
          <w:lang w:val="nl-BE" w:eastAsia="en-US"/>
        </w:rPr>
        <w:t xml:space="preserve">Vlaamse export van varkensvlees naar </w:t>
      </w:r>
      <w:r w:rsidR="007C06AA">
        <w:rPr>
          <w:rFonts w:eastAsia="Calibri"/>
          <w:i w:val="0"/>
          <w:lang w:val="nl-BE" w:eastAsia="en-US"/>
        </w:rPr>
        <w:t xml:space="preserve">China, Taiwan, Zuid-Afrika en Australië gedurende de </w:t>
      </w:r>
      <w:r w:rsidR="007C06AA" w:rsidRPr="007C06AA">
        <w:rPr>
          <w:rFonts w:eastAsia="Calibri"/>
          <w:i w:val="0"/>
          <w:lang w:val="nl-BE" w:eastAsia="en-US"/>
        </w:rPr>
        <w:t>eerste 10 maanden van het jaar,</w:t>
      </w:r>
      <w:r w:rsidR="007C06AA">
        <w:rPr>
          <w:rFonts w:eastAsia="Calibri"/>
          <w:i w:val="0"/>
          <w:lang w:val="nl-BE" w:eastAsia="en-US"/>
        </w:rPr>
        <w:t xml:space="preserve"> uitgedrukt</w:t>
      </w:r>
      <w:r w:rsidR="007C06AA" w:rsidRPr="007C06AA">
        <w:rPr>
          <w:rFonts w:eastAsia="Calibri"/>
          <w:i w:val="0"/>
          <w:lang w:val="nl-BE" w:eastAsia="en-US"/>
        </w:rPr>
        <w:t xml:space="preserve"> in kg,</w:t>
      </w:r>
      <w:r w:rsidR="007C06AA">
        <w:rPr>
          <w:rFonts w:eastAsia="Calibri"/>
          <w:i w:val="0"/>
          <w:lang w:val="nl-BE" w:eastAsia="en-US"/>
        </w:rPr>
        <w:t xml:space="preserve"> en voor de periode</w:t>
      </w:r>
      <w:r w:rsidR="007C06AA" w:rsidRPr="007C06AA">
        <w:rPr>
          <w:rFonts w:eastAsia="Calibri"/>
          <w:i w:val="0"/>
          <w:lang w:val="nl-BE" w:eastAsia="en-US"/>
        </w:rPr>
        <w:t xml:space="preserve"> 2014-2018.</w:t>
      </w:r>
    </w:p>
    <w:p w14:paraId="7ADC0730" w14:textId="77777777" w:rsidR="00450A68" w:rsidRPr="00251506" w:rsidRDefault="00450A68" w:rsidP="00251506">
      <w:pPr>
        <w:pStyle w:val="StijlStandaardSVVerdana10ptCursiefLinks-175cm"/>
        <w:ind w:left="360"/>
        <w:jc w:val="left"/>
        <w:rPr>
          <w:rFonts w:eastAsia="Calibri"/>
          <w:i w:val="0"/>
          <w:lang w:val="nl-BE" w:eastAsia="en-US"/>
        </w:rPr>
      </w:pPr>
    </w:p>
    <w:p w14:paraId="050CAB14" w14:textId="16738D0C" w:rsidR="00420EB4" w:rsidRPr="00664E68" w:rsidRDefault="00420EB4" w:rsidP="00650147">
      <w:pPr>
        <w:pStyle w:val="StijlStandaardSVVerdana10ptCursiefLinks-175cm"/>
        <w:numPr>
          <w:ilvl w:val="0"/>
          <w:numId w:val="5"/>
        </w:numPr>
        <w:rPr>
          <w:rFonts w:eastAsia="Calibri"/>
          <w:i w:val="0"/>
          <w:lang w:val="nl-BE" w:eastAsia="en-US"/>
        </w:rPr>
      </w:pPr>
      <w:r w:rsidRPr="25F2F979">
        <w:rPr>
          <w:rFonts w:eastAsia="Calibri"/>
          <w:i w:val="0"/>
          <w:iCs w:val="0"/>
          <w:lang w:val="nl-BE" w:eastAsia="en-US"/>
        </w:rPr>
        <w:t xml:space="preserve">Volgens de resultaten van de landbouwenquête van </w:t>
      </w:r>
      <w:proofErr w:type="spellStart"/>
      <w:r w:rsidRPr="25F2F979">
        <w:rPr>
          <w:rFonts w:eastAsia="Calibri"/>
          <w:i w:val="0"/>
          <w:iCs w:val="0"/>
          <w:lang w:val="nl-BE" w:eastAsia="en-US"/>
        </w:rPr>
        <w:t>Statbel</w:t>
      </w:r>
      <w:proofErr w:type="spellEnd"/>
      <w:r w:rsidRPr="25F2F979">
        <w:rPr>
          <w:rFonts w:eastAsia="Calibri"/>
          <w:i w:val="0"/>
          <w:iCs w:val="0"/>
          <w:lang w:val="nl-BE" w:eastAsia="en-US"/>
        </w:rPr>
        <w:t xml:space="preserve"> (Algemene Directie Statistiek – </w:t>
      </w:r>
      <w:proofErr w:type="spellStart"/>
      <w:r w:rsidRPr="25F2F979">
        <w:rPr>
          <w:rFonts w:eastAsia="Calibri"/>
          <w:i w:val="0"/>
          <w:iCs w:val="0"/>
          <w:lang w:val="nl-BE" w:eastAsia="en-US"/>
        </w:rPr>
        <w:t>Statistics</w:t>
      </w:r>
      <w:proofErr w:type="spellEnd"/>
      <w:r w:rsidRPr="25F2F979">
        <w:rPr>
          <w:rFonts w:eastAsia="Calibri"/>
          <w:i w:val="0"/>
          <w:iCs w:val="0"/>
          <w:lang w:val="nl-BE" w:eastAsia="en-US"/>
        </w:rPr>
        <w:t xml:space="preserve"> Belgium) waren er in 2021 in Vlaanderen 3490 bedrijven met varkens. In 2012 waren er 4720 bedrijven met varkens in Vlaanderen. In </w:t>
      </w:r>
      <w:r w:rsidR="00650147" w:rsidRPr="25F2F979">
        <w:rPr>
          <w:rFonts w:eastAsia="Calibri"/>
          <w:i w:val="0"/>
          <w:iCs w:val="0"/>
          <w:lang w:val="nl-BE" w:eastAsia="en-US"/>
        </w:rPr>
        <w:t>bijlage</w:t>
      </w:r>
      <w:r w:rsidRPr="25F2F979">
        <w:rPr>
          <w:rFonts w:eastAsia="Calibri"/>
          <w:i w:val="0"/>
          <w:iCs w:val="0"/>
          <w:lang w:val="nl-BE" w:eastAsia="en-US"/>
        </w:rPr>
        <w:t xml:space="preserve"> 4 </w:t>
      </w:r>
      <w:r w:rsidR="00E242E1" w:rsidRPr="25F2F979">
        <w:rPr>
          <w:rFonts w:eastAsia="Calibri"/>
          <w:i w:val="0"/>
          <w:iCs w:val="0"/>
          <w:lang w:val="nl-BE" w:eastAsia="en-US"/>
        </w:rPr>
        <w:t xml:space="preserve">staat </w:t>
      </w:r>
      <w:r w:rsidRPr="25F2F979">
        <w:rPr>
          <w:rFonts w:eastAsia="Calibri"/>
          <w:i w:val="0"/>
          <w:iCs w:val="0"/>
          <w:lang w:val="nl-BE" w:eastAsia="en-US"/>
        </w:rPr>
        <w:t>het aantal bedrijven met varkens per provincie. Er zijn nog geen gegevens beschikbaar voor 2022.</w:t>
      </w:r>
    </w:p>
    <w:p w14:paraId="16BC388C" w14:textId="77777777" w:rsidR="008605BB" w:rsidRDefault="008605BB" w:rsidP="00B9202C">
      <w:pPr>
        <w:pStyle w:val="StijlStandaardSVVerdana10ptCursiefLinks-175cm"/>
        <w:ind w:left="360"/>
        <w:jc w:val="left"/>
        <w:rPr>
          <w:rFonts w:eastAsia="Calibri"/>
          <w:i w:val="0"/>
          <w:lang w:val="nl-BE" w:eastAsia="en-US"/>
        </w:rPr>
      </w:pPr>
    </w:p>
    <w:p w14:paraId="58C374A4" w14:textId="49DA4DEE" w:rsidR="00C931CA" w:rsidRPr="00450A68" w:rsidRDefault="00785271" w:rsidP="00356AF9">
      <w:pPr>
        <w:pStyle w:val="StijlStandaardSVVerdana10ptCursiefLinks-175cm"/>
        <w:numPr>
          <w:ilvl w:val="0"/>
          <w:numId w:val="5"/>
        </w:numPr>
        <w:rPr>
          <w:i w:val="0"/>
          <w:iCs w:val="0"/>
        </w:rPr>
      </w:pPr>
      <w:r w:rsidRPr="25F2F979">
        <w:rPr>
          <w:rFonts w:eastAsia="Calibri"/>
          <w:i w:val="0"/>
          <w:iCs w:val="0"/>
          <w:lang w:val="nl-BE" w:eastAsia="en-US"/>
        </w:rPr>
        <w:t xml:space="preserve">De cijfers tonen duidelijk een </w:t>
      </w:r>
      <w:r w:rsidR="00C931CA" w:rsidRPr="25F2F979">
        <w:rPr>
          <w:i w:val="0"/>
          <w:iCs w:val="0"/>
        </w:rPr>
        <w:t xml:space="preserve">neerwaartse evolutie aan, wat de moeilijke situatie illustreert waarin de sector zich in Vlaanderen bevindt. Dit ondanks de cluster van knowhow, het sterk uitgebouwde economische weefsel dat de sector door de jaren heen heeft opgebouwd en het positieve handelssaldo van ruim 1 miljard euro. Aan de basis liggen meerdere oorzaken. Enerzijds kon de sector door de AVP niet profiteren van de </w:t>
      </w:r>
      <w:proofErr w:type="spellStart"/>
      <w:r w:rsidR="00C931CA" w:rsidRPr="25F2F979">
        <w:rPr>
          <w:i w:val="0"/>
          <w:iCs w:val="0"/>
        </w:rPr>
        <w:t>importboost</w:t>
      </w:r>
      <w:proofErr w:type="spellEnd"/>
      <w:r w:rsidR="00C931CA" w:rsidRPr="25F2F979">
        <w:rPr>
          <w:i w:val="0"/>
          <w:iCs w:val="0"/>
        </w:rPr>
        <w:t xml:space="preserve"> 2019/2020 naar China, </w:t>
      </w:r>
      <w:r w:rsidR="00E242E1" w:rsidRPr="25F2F979">
        <w:rPr>
          <w:i w:val="0"/>
          <w:iCs w:val="0"/>
        </w:rPr>
        <w:t xml:space="preserve">terwijl </w:t>
      </w:r>
      <w:r w:rsidR="00C931CA" w:rsidRPr="25F2F979">
        <w:rPr>
          <w:i w:val="0"/>
          <w:iCs w:val="0"/>
        </w:rPr>
        <w:t xml:space="preserve">andere Europese lidstaten forse winsten konden boeken. Het feit dat het dossier geen enkele vooruitgang boekte sinds het herwinnen van de AVP-vrije status, is deels te verklaren door de verzwakte diplomatieke relaties die ons land met de Volksrepubliek heeft. Anderzijds vergt de productie van varkens en varkensvlees investeringen op langere termijn. Daarvoor is een stabiel en duidelijk beleids- en vergunningenkader nodig, dat een toekomstperspectief inhoudt. </w:t>
      </w:r>
    </w:p>
    <w:p w14:paraId="56E329CC" w14:textId="74F375A4" w:rsidR="00770CA6" w:rsidRDefault="00770CA6" w:rsidP="0091018A">
      <w:pPr>
        <w:pStyle w:val="StijlStandaardSVVerdana10ptCursiefLinks-175cm"/>
        <w:jc w:val="left"/>
        <w:rPr>
          <w:rFonts w:eastAsia="Calibri"/>
          <w:i w:val="0"/>
          <w:iCs w:val="0"/>
          <w:lang w:eastAsia="en-US"/>
        </w:rPr>
      </w:pPr>
    </w:p>
    <w:p w14:paraId="3AF504D2" w14:textId="5990E4AA" w:rsidR="00E579B7" w:rsidRDefault="00E579B7" w:rsidP="0091018A">
      <w:pPr>
        <w:pStyle w:val="StijlStandaardSVVerdana10ptCursiefLinks-175cm"/>
        <w:jc w:val="left"/>
        <w:rPr>
          <w:rFonts w:eastAsia="Calibri"/>
          <w:b/>
          <w:bCs/>
          <w:i w:val="0"/>
          <w:iCs w:val="0"/>
          <w:smallCaps/>
          <w:color w:val="FF0000"/>
          <w:u w:val="single"/>
          <w:lang w:eastAsia="en-US"/>
        </w:rPr>
      </w:pPr>
      <w:r w:rsidRPr="00E579B7">
        <w:rPr>
          <w:rFonts w:eastAsia="Calibri"/>
          <w:b/>
          <w:bCs/>
          <w:i w:val="0"/>
          <w:iCs w:val="0"/>
          <w:smallCaps/>
          <w:color w:val="FF0000"/>
          <w:u w:val="single"/>
          <w:lang w:eastAsia="en-US"/>
        </w:rPr>
        <w:t>bijlagen</w:t>
      </w:r>
    </w:p>
    <w:p w14:paraId="3102BC5C" w14:textId="77777777" w:rsidR="006944FC" w:rsidRDefault="006944FC" w:rsidP="006944FC">
      <w:pPr>
        <w:pStyle w:val="StijlStandaardSVVerdana10ptCursiefLinks-175cm"/>
        <w:ind w:left="360"/>
        <w:jc w:val="left"/>
        <w:rPr>
          <w:rFonts w:eastAsia="Calibri"/>
          <w:i w:val="0"/>
          <w:iCs w:val="0"/>
          <w:lang w:eastAsia="en-US"/>
        </w:rPr>
      </w:pPr>
    </w:p>
    <w:p w14:paraId="26A13383" w14:textId="73A58C42" w:rsidR="00E579B7" w:rsidRDefault="00664E68" w:rsidP="006944FC">
      <w:pPr>
        <w:pStyle w:val="StijlStandaardSVVerdana10ptCursiefLinks-175cm"/>
        <w:numPr>
          <w:ilvl w:val="0"/>
          <w:numId w:val="18"/>
        </w:numPr>
        <w:rPr>
          <w:rFonts w:eastAsia="Calibri"/>
          <w:i w:val="0"/>
          <w:iCs w:val="0"/>
          <w:lang w:eastAsia="en-US"/>
        </w:rPr>
      </w:pPr>
      <w:r w:rsidRPr="00664E68">
        <w:rPr>
          <w:rFonts w:eastAsia="Calibri"/>
          <w:i w:val="0"/>
          <w:iCs w:val="0"/>
          <w:lang w:eastAsia="en-US"/>
        </w:rPr>
        <w:t xml:space="preserve">Vlaamse export van varkensvlees in de eerste 10 maanden van het </w:t>
      </w:r>
      <w:proofErr w:type="spellStart"/>
      <w:r w:rsidRPr="00664E68">
        <w:rPr>
          <w:rFonts w:eastAsia="Calibri"/>
          <w:i w:val="0"/>
          <w:iCs w:val="0"/>
          <w:lang w:eastAsia="en-US"/>
        </w:rPr>
        <w:t>jaar,uitgedrukt</w:t>
      </w:r>
      <w:proofErr w:type="spellEnd"/>
      <w:r w:rsidRPr="00664E68">
        <w:rPr>
          <w:rFonts w:eastAsia="Calibri"/>
          <w:i w:val="0"/>
          <w:iCs w:val="0"/>
          <w:lang w:eastAsia="en-US"/>
        </w:rPr>
        <w:t xml:space="preserve"> in kg, voor de periode 2014-2022.</w:t>
      </w:r>
    </w:p>
    <w:p w14:paraId="156163F2" w14:textId="0121B459" w:rsidR="00664E68" w:rsidRDefault="00664E68" w:rsidP="006944FC">
      <w:pPr>
        <w:pStyle w:val="StijlStandaardSVVerdana10ptCursiefLinks-175cm"/>
        <w:numPr>
          <w:ilvl w:val="0"/>
          <w:numId w:val="18"/>
        </w:numPr>
        <w:rPr>
          <w:rFonts w:eastAsia="Calibri"/>
          <w:i w:val="0"/>
          <w:iCs w:val="0"/>
          <w:lang w:eastAsia="en-US"/>
        </w:rPr>
      </w:pPr>
      <w:r w:rsidRPr="00664E68">
        <w:rPr>
          <w:rFonts w:eastAsia="Calibri"/>
          <w:i w:val="0"/>
          <w:iCs w:val="0"/>
          <w:lang w:eastAsia="en-US"/>
        </w:rPr>
        <w:t>Belangrijkste landen voor de Vlaamse export van varkensvlees in de eerste 10 maanden van 2022 en procentueel aandeel in de totale Vlaamse export van varkensvlees</w:t>
      </w:r>
    </w:p>
    <w:p w14:paraId="051068F1" w14:textId="404BB1F8" w:rsidR="00664E68" w:rsidRDefault="00664E68" w:rsidP="006944FC">
      <w:pPr>
        <w:pStyle w:val="StijlStandaardSVVerdana10ptCursiefLinks-175cm"/>
        <w:numPr>
          <w:ilvl w:val="0"/>
          <w:numId w:val="18"/>
        </w:numPr>
        <w:rPr>
          <w:rFonts w:eastAsia="Calibri"/>
          <w:i w:val="0"/>
          <w:iCs w:val="0"/>
          <w:lang w:eastAsia="en-US"/>
        </w:rPr>
      </w:pPr>
      <w:r w:rsidRPr="00664E68">
        <w:rPr>
          <w:rFonts w:eastAsia="Calibri"/>
          <w:i w:val="0"/>
          <w:iCs w:val="0"/>
          <w:lang w:eastAsia="en-US"/>
        </w:rPr>
        <w:t>Jaarlijkse Vlaamse export van varkensvlees naar specifieke landen in de eerste 10 maanden van het jaar, uitgedrukt in kg, voor de periode 2014-2018</w:t>
      </w:r>
    </w:p>
    <w:p w14:paraId="32F74AF1" w14:textId="437C4562" w:rsidR="00022F9B" w:rsidRDefault="00664E68" w:rsidP="006944FC">
      <w:pPr>
        <w:pStyle w:val="StijlStandaardSVVerdana10ptCursiefLinks-175cm"/>
        <w:numPr>
          <w:ilvl w:val="0"/>
          <w:numId w:val="18"/>
        </w:numPr>
        <w:rPr>
          <w:rFonts w:eastAsia="Calibri"/>
          <w:i w:val="0"/>
          <w:iCs w:val="0"/>
          <w:lang w:eastAsia="en-US"/>
        </w:rPr>
      </w:pPr>
      <w:r w:rsidRPr="00664E68">
        <w:rPr>
          <w:rFonts w:eastAsia="Calibri"/>
          <w:i w:val="0"/>
          <w:iCs w:val="0"/>
          <w:lang w:eastAsia="en-US"/>
        </w:rPr>
        <w:t>Aantal bedrijven met varkens in Vlaanderen per provincie</w:t>
      </w:r>
      <w:r>
        <w:rPr>
          <w:rFonts w:eastAsia="Calibri"/>
          <w:i w:val="0"/>
          <w:iCs w:val="0"/>
          <w:lang w:eastAsia="en-US"/>
        </w:rPr>
        <w:t xml:space="preserve"> in</w:t>
      </w:r>
      <w:r w:rsidRPr="00664E68">
        <w:rPr>
          <w:rFonts w:eastAsia="Calibri"/>
          <w:i w:val="0"/>
          <w:iCs w:val="0"/>
          <w:lang w:eastAsia="en-US"/>
        </w:rPr>
        <w:t xml:space="preserve"> 2012 en 2021</w:t>
      </w:r>
    </w:p>
    <w:p w14:paraId="117E9CFE" w14:textId="77777777" w:rsidR="00022F9B" w:rsidRDefault="00022F9B">
      <w:pPr>
        <w:spacing w:after="200" w:line="276" w:lineRule="auto"/>
        <w:rPr>
          <w:rFonts w:ascii="Verdana" w:eastAsia="Calibri" w:hAnsi="Verdana"/>
          <w:sz w:val="20"/>
          <w:lang w:eastAsia="en-US"/>
        </w:rPr>
      </w:pPr>
      <w:r>
        <w:rPr>
          <w:rFonts w:eastAsia="Calibri"/>
          <w:i/>
          <w:iCs/>
          <w:lang w:eastAsia="en-US"/>
        </w:rPr>
        <w:br w:type="page"/>
      </w:r>
    </w:p>
    <w:p w14:paraId="0AAD26B3" w14:textId="77777777" w:rsidR="00022F9B" w:rsidRPr="00A22C2A" w:rsidRDefault="00022F9B" w:rsidP="00022F9B">
      <w:pPr>
        <w:pStyle w:val="StijlStandaardSVVerdana10ptCursiefLinks-175cm"/>
        <w:ind w:left="360"/>
        <w:jc w:val="left"/>
        <w:rPr>
          <w:rFonts w:eastAsia="Calibri"/>
          <w:b/>
          <w:bCs/>
          <w:i w:val="0"/>
          <w:lang w:val="nl-BE" w:eastAsia="en-US"/>
        </w:rPr>
      </w:pPr>
      <w:bookmarkStart w:id="0" w:name="_Hlk126605956"/>
      <w:r w:rsidRPr="00C26603">
        <w:rPr>
          <w:rFonts w:eastAsia="Calibri"/>
          <w:b/>
          <w:bCs/>
          <w:i w:val="0"/>
          <w:u w:val="single"/>
          <w:lang w:val="nl-BE" w:eastAsia="en-US"/>
        </w:rPr>
        <w:lastRenderedPageBreak/>
        <w:t>Bijlage 1.</w:t>
      </w:r>
      <w:r w:rsidRPr="00A22C2A">
        <w:rPr>
          <w:rFonts w:eastAsia="Calibri"/>
          <w:b/>
          <w:bCs/>
          <w:i w:val="0"/>
          <w:lang w:val="nl-BE" w:eastAsia="en-US"/>
        </w:rPr>
        <w:t xml:space="preserve"> Vlaamse export van varkensvlees in de eerste 10 maanden van het jaar,</w:t>
      </w:r>
      <w:r>
        <w:rPr>
          <w:rFonts w:eastAsia="Calibri"/>
          <w:b/>
          <w:bCs/>
          <w:i w:val="0"/>
          <w:lang w:val="nl-BE" w:eastAsia="en-US"/>
        </w:rPr>
        <w:t xml:space="preserve"> uitgedrukt</w:t>
      </w:r>
      <w:r w:rsidRPr="00A22C2A">
        <w:rPr>
          <w:rFonts w:eastAsia="Calibri"/>
          <w:b/>
          <w:bCs/>
          <w:i w:val="0"/>
          <w:lang w:val="nl-BE" w:eastAsia="en-US"/>
        </w:rPr>
        <w:t xml:space="preserve"> in kg, </w:t>
      </w:r>
      <w:r>
        <w:rPr>
          <w:rFonts w:eastAsia="Calibri"/>
          <w:b/>
          <w:bCs/>
          <w:i w:val="0"/>
          <w:lang w:val="nl-BE" w:eastAsia="en-US"/>
        </w:rPr>
        <w:t xml:space="preserve">voor de periode </w:t>
      </w:r>
      <w:r w:rsidRPr="00A22C2A">
        <w:rPr>
          <w:rFonts w:eastAsia="Calibri"/>
          <w:b/>
          <w:bCs/>
          <w:i w:val="0"/>
          <w:lang w:val="nl-BE" w:eastAsia="en-US"/>
        </w:rPr>
        <w:t>2014-2022.</w:t>
      </w:r>
    </w:p>
    <w:tbl>
      <w:tblPr>
        <w:tblStyle w:val="Tabelrasterlicht"/>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2937"/>
      </w:tblGrid>
      <w:tr w:rsidR="00022F9B" w:rsidRPr="00251506" w14:paraId="295EC030" w14:textId="77777777" w:rsidTr="00494662">
        <w:trPr>
          <w:trHeight w:val="290"/>
        </w:trPr>
        <w:tc>
          <w:tcPr>
            <w:tcW w:w="1032" w:type="dxa"/>
          </w:tcPr>
          <w:bookmarkEnd w:id="0"/>
          <w:p w14:paraId="2FB2685C"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Pr>
                <w:rFonts w:ascii="Verdana" w:eastAsiaTheme="minorHAnsi" w:hAnsi="Verdana" w:cs="Calibri"/>
                <w:color w:val="000000"/>
                <w:sz w:val="20"/>
                <w:lang w:val="nl-BE" w:eastAsia="en-US"/>
              </w:rPr>
              <w:t>jaar</w:t>
            </w:r>
          </w:p>
        </w:tc>
        <w:tc>
          <w:tcPr>
            <w:tcW w:w="2937" w:type="dxa"/>
          </w:tcPr>
          <w:p w14:paraId="6A5A6843"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export varkensvlees</w:t>
            </w:r>
            <w:r>
              <w:rPr>
                <w:rFonts w:ascii="Verdana" w:eastAsiaTheme="minorHAnsi" w:hAnsi="Verdana" w:cs="Calibri"/>
                <w:color w:val="000000"/>
                <w:sz w:val="20"/>
                <w:lang w:val="nl-BE" w:eastAsia="en-US"/>
              </w:rPr>
              <w:t xml:space="preserve"> (kg)</w:t>
            </w:r>
          </w:p>
        </w:tc>
      </w:tr>
      <w:tr w:rsidR="00022F9B" w:rsidRPr="00251506" w14:paraId="1E0C2EA4" w14:textId="77777777" w:rsidTr="00494662">
        <w:trPr>
          <w:trHeight w:val="290"/>
        </w:trPr>
        <w:tc>
          <w:tcPr>
            <w:tcW w:w="1032" w:type="dxa"/>
          </w:tcPr>
          <w:p w14:paraId="32FFAFDB"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2014</w:t>
            </w:r>
          </w:p>
        </w:tc>
        <w:tc>
          <w:tcPr>
            <w:tcW w:w="2937" w:type="dxa"/>
          </w:tcPr>
          <w:p w14:paraId="160A23CD"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580.189.971</w:t>
            </w:r>
          </w:p>
        </w:tc>
      </w:tr>
      <w:tr w:rsidR="00022F9B" w:rsidRPr="00251506" w14:paraId="1C81A1FB" w14:textId="77777777" w:rsidTr="00494662">
        <w:trPr>
          <w:trHeight w:val="290"/>
        </w:trPr>
        <w:tc>
          <w:tcPr>
            <w:tcW w:w="1032" w:type="dxa"/>
          </w:tcPr>
          <w:p w14:paraId="546601C6"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2015</w:t>
            </w:r>
          </w:p>
        </w:tc>
        <w:tc>
          <w:tcPr>
            <w:tcW w:w="2937" w:type="dxa"/>
          </w:tcPr>
          <w:p w14:paraId="685EEB9C"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614.617.614</w:t>
            </w:r>
          </w:p>
        </w:tc>
      </w:tr>
      <w:tr w:rsidR="00022F9B" w:rsidRPr="00251506" w14:paraId="444BFA12" w14:textId="77777777" w:rsidTr="00494662">
        <w:trPr>
          <w:trHeight w:val="290"/>
        </w:trPr>
        <w:tc>
          <w:tcPr>
            <w:tcW w:w="1032" w:type="dxa"/>
          </w:tcPr>
          <w:p w14:paraId="342FD9A6"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2016</w:t>
            </w:r>
          </w:p>
        </w:tc>
        <w:tc>
          <w:tcPr>
            <w:tcW w:w="2937" w:type="dxa"/>
          </w:tcPr>
          <w:p w14:paraId="2ABD8960"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591.074.304</w:t>
            </w:r>
          </w:p>
        </w:tc>
      </w:tr>
      <w:tr w:rsidR="00022F9B" w:rsidRPr="00251506" w14:paraId="3A6D477E" w14:textId="77777777" w:rsidTr="00494662">
        <w:trPr>
          <w:trHeight w:val="290"/>
        </w:trPr>
        <w:tc>
          <w:tcPr>
            <w:tcW w:w="1032" w:type="dxa"/>
          </w:tcPr>
          <w:p w14:paraId="31C56858"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2017</w:t>
            </w:r>
          </w:p>
        </w:tc>
        <w:tc>
          <w:tcPr>
            <w:tcW w:w="2937" w:type="dxa"/>
          </w:tcPr>
          <w:p w14:paraId="7D40CFB5"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577.077.430</w:t>
            </w:r>
          </w:p>
        </w:tc>
      </w:tr>
      <w:tr w:rsidR="00022F9B" w:rsidRPr="00251506" w14:paraId="22FF2725" w14:textId="77777777" w:rsidTr="00494662">
        <w:trPr>
          <w:trHeight w:val="290"/>
        </w:trPr>
        <w:tc>
          <w:tcPr>
            <w:tcW w:w="1032" w:type="dxa"/>
          </w:tcPr>
          <w:p w14:paraId="0D5C869E"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2018</w:t>
            </w:r>
          </w:p>
        </w:tc>
        <w:tc>
          <w:tcPr>
            <w:tcW w:w="2937" w:type="dxa"/>
          </w:tcPr>
          <w:p w14:paraId="31A506B5"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598.136.527</w:t>
            </w:r>
          </w:p>
        </w:tc>
      </w:tr>
      <w:tr w:rsidR="00022F9B" w:rsidRPr="00251506" w14:paraId="0A95E05B" w14:textId="77777777" w:rsidTr="00494662">
        <w:trPr>
          <w:trHeight w:val="290"/>
        </w:trPr>
        <w:tc>
          <w:tcPr>
            <w:tcW w:w="1032" w:type="dxa"/>
          </w:tcPr>
          <w:p w14:paraId="318D84AB"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2019</w:t>
            </w:r>
          </w:p>
        </w:tc>
        <w:tc>
          <w:tcPr>
            <w:tcW w:w="2937" w:type="dxa"/>
          </w:tcPr>
          <w:p w14:paraId="1D275FE0"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580.782.319</w:t>
            </w:r>
          </w:p>
        </w:tc>
      </w:tr>
      <w:tr w:rsidR="00022F9B" w:rsidRPr="00251506" w14:paraId="3664E52A" w14:textId="77777777" w:rsidTr="00494662">
        <w:trPr>
          <w:trHeight w:val="290"/>
        </w:trPr>
        <w:tc>
          <w:tcPr>
            <w:tcW w:w="1032" w:type="dxa"/>
          </w:tcPr>
          <w:p w14:paraId="32CCBD94"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2020</w:t>
            </w:r>
          </w:p>
        </w:tc>
        <w:tc>
          <w:tcPr>
            <w:tcW w:w="2937" w:type="dxa"/>
          </w:tcPr>
          <w:p w14:paraId="7391AB48"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597.018.829</w:t>
            </w:r>
          </w:p>
        </w:tc>
      </w:tr>
      <w:tr w:rsidR="00022F9B" w:rsidRPr="00251506" w14:paraId="18DE88EF" w14:textId="77777777" w:rsidTr="00494662">
        <w:trPr>
          <w:trHeight w:val="290"/>
        </w:trPr>
        <w:tc>
          <w:tcPr>
            <w:tcW w:w="1032" w:type="dxa"/>
          </w:tcPr>
          <w:p w14:paraId="57B84769"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2021</w:t>
            </w:r>
          </w:p>
        </w:tc>
        <w:tc>
          <w:tcPr>
            <w:tcW w:w="2937" w:type="dxa"/>
          </w:tcPr>
          <w:p w14:paraId="5398681A"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627.505.426</w:t>
            </w:r>
          </w:p>
        </w:tc>
      </w:tr>
      <w:tr w:rsidR="00022F9B" w:rsidRPr="00251506" w14:paraId="61F0CC7C" w14:textId="77777777" w:rsidTr="00494662">
        <w:trPr>
          <w:trHeight w:val="290"/>
        </w:trPr>
        <w:tc>
          <w:tcPr>
            <w:tcW w:w="1032" w:type="dxa"/>
          </w:tcPr>
          <w:p w14:paraId="2C380A59"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2022</w:t>
            </w:r>
          </w:p>
        </w:tc>
        <w:tc>
          <w:tcPr>
            <w:tcW w:w="2937" w:type="dxa"/>
          </w:tcPr>
          <w:p w14:paraId="7CF1C3C8" w14:textId="77777777" w:rsidR="00022F9B" w:rsidRPr="00251506" w:rsidRDefault="00022F9B" w:rsidP="00494662">
            <w:pPr>
              <w:autoSpaceDE w:val="0"/>
              <w:autoSpaceDN w:val="0"/>
              <w:adjustRightInd w:val="0"/>
              <w:jc w:val="center"/>
              <w:rPr>
                <w:rFonts w:ascii="Verdana" w:eastAsiaTheme="minorHAnsi" w:hAnsi="Verdana" w:cs="Calibri"/>
                <w:color w:val="000000"/>
                <w:sz w:val="20"/>
                <w:lang w:val="nl-BE" w:eastAsia="en-US"/>
              </w:rPr>
            </w:pPr>
            <w:r w:rsidRPr="00251506">
              <w:rPr>
                <w:rFonts w:ascii="Verdana" w:eastAsiaTheme="minorHAnsi" w:hAnsi="Verdana" w:cs="Calibri"/>
                <w:color w:val="000000"/>
                <w:sz w:val="20"/>
                <w:lang w:val="nl-BE" w:eastAsia="en-US"/>
              </w:rPr>
              <w:t>547.339.617</w:t>
            </w:r>
          </w:p>
        </w:tc>
      </w:tr>
    </w:tbl>
    <w:p w14:paraId="6DE1A290" w14:textId="77777777" w:rsidR="00022F9B" w:rsidRPr="00251506" w:rsidRDefault="00022F9B" w:rsidP="00022F9B">
      <w:pPr>
        <w:pStyle w:val="StijlStandaardSVVerdana10ptCursiefLinks-175cm"/>
        <w:ind w:left="360"/>
        <w:jc w:val="left"/>
        <w:rPr>
          <w:rFonts w:eastAsia="Calibri"/>
          <w:iCs w:val="0"/>
          <w:lang w:val="nl-BE" w:eastAsia="en-US"/>
        </w:rPr>
      </w:pPr>
      <w:r w:rsidRPr="00251506">
        <w:rPr>
          <w:rFonts w:eastAsia="Calibri"/>
          <w:iCs w:val="0"/>
          <w:lang w:val="nl-BE" w:eastAsia="en-US"/>
        </w:rPr>
        <w:t>Bron: Departement Landbouw en Visserij op basis van NBB</w:t>
      </w:r>
    </w:p>
    <w:p w14:paraId="04264F46" w14:textId="77777777" w:rsidR="00022F9B" w:rsidRDefault="00022F9B" w:rsidP="00022F9B">
      <w:pPr>
        <w:pStyle w:val="StijlStandaardSVVerdana10ptCursiefLinks-175cm"/>
        <w:ind w:left="360"/>
        <w:jc w:val="left"/>
        <w:rPr>
          <w:rFonts w:eastAsia="Calibri"/>
          <w:i w:val="0"/>
          <w:lang w:val="nl-BE" w:eastAsia="en-US"/>
        </w:rPr>
      </w:pPr>
    </w:p>
    <w:p w14:paraId="4CBBE5B4" w14:textId="77777777" w:rsidR="00022F9B" w:rsidRPr="00A22C2A" w:rsidRDefault="00022F9B" w:rsidP="00022F9B">
      <w:pPr>
        <w:pStyle w:val="StijlStandaardSVVerdana10ptCursiefLinks-175cm"/>
        <w:ind w:left="360"/>
        <w:jc w:val="left"/>
        <w:rPr>
          <w:rFonts w:eastAsia="Calibri"/>
          <w:b/>
          <w:bCs/>
          <w:i w:val="0"/>
          <w:lang w:val="nl-BE" w:eastAsia="en-US"/>
        </w:rPr>
      </w:pPr>
      <w:r w:rsidRPr="00C26603">
        <w:rPr>
          <w:rFonts w:eastAsia="Calibri"/>
          <w:b/>
          <w:bCs/>
          <w:i w:val="0"/>
          <w:u w:val="single"/>
          <w:lang w:val="nl-BE" w:eastAsia="en-US"/>
        </w:rPr>
        <w:t>Bijlage 2.</w:t>
      </w:r>
      <w:r w:rsidRPr="00A22C2A">
        <w:rPr>
          <w:rFonts w:eastAsia="Calibri"/>
          <w:b/>
          <w:bCs/>
          <w:i w:val="0"/>
          <w:lang w:val="nl-BE" w:eastAsia="en-US"/>
        </w:rPr>
        <w:t xml:space="preserve"> Belangrijkste landen voor de Vlaamse export van varkensvlees in de eerste 10 maanden van 2022</w:t>
      </w:r>
      <w:r>
        <w:rPr>
          <w:rFonts w:eastAsia="Calibri"/>
          <w:b/>
          <w:bCs/>
          <w:i w:val="0"/>
          <w:lang w:val="nl-BE" w:eastAsia="en-US"/>
        </w:rPr>
        <w:t xml:space="preserve"> en procentueel aandeel in de </w:t>
      </w:r>
      <w:r w:rsidRPr="00A22C2A">
        <w:rPr>
          <w:rFonts w:eastAsia="Calibri"/>
          <w:b/>
          <w:bCs/>
          <w:i w:val="0"/>
          <w:lang w:val="nl-BE" w:eastAsia="en-US"/>
        </w:rPr>
        <w:t xml:space="preserve">totale </w:t>
      </w:r>
      <w:r>
        <w:rPr>
          <w:rFonts w:eastAsia="Calibri"/>
          <w:b/>
          <w:bCs/>
          <w:i w:val="0"/>
          <w:lang w:val="nl-BE" w:eastAsia="en-US"/>
        </w:rPr>
        <w:t xml:space="preserve">Vlaamse </w:t>
      </w:r>
      <w:r w:rsidRPr="00A22C2A">
        <w:rPr>
          <w:rFonts w:eastAsia="Calibri"/>
          <w:b/>
          <w:bCs/>
          <w:i w:val="0"/>
          <w:lang w:val="nl-BE" w:eastAsia="en-US"/>
        </w:rPr>
        <w:t>export van varkensvlees</w:t>
      </w:r>
    </w:p>
    <w:tbl>
      <w:tblPr>
        <w:tblStyle w:val="Tabelrasterlicht"/>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8"/>
        <w:gridCol w:w="3054"/>
      </w:tblGrid>
      <w:tr w:rsidR="00022F9B" w:rsidRPr="00EB15AC" w14:paraId="27457400" w14:textId="77777777" w:rsidTr="00494662">
        <w:trPr>
          <w:trHeight w:val="290"/>
        </w:trPr>
        <w:tc>
          <w:tcPr>
            <w:tcW w:w="4738" w:type="dxa"/>
          </w:tcPr>
          <w:p w14:paraId="5F6809D9" w14:textId="77777777" w:rsidR="00022F9B" w:rsidRPr="00493E68" w:rsidRDefault="00022F9B" w:rsidP="00494662">
            <w:pPr>
              <w:autoSpaceDE w:val="0"/>
              <w:autoSpaceDN w:val="0"/>
              <w:adjustRightInd w:val="0"/>
              <w:rPr>
                <w:rFonts w:ascii="Verdana" w:eastAsiaTheme="minorHAnsi" w:hAnsi="Verdana" w:cs="Calibri"/>
                <w:b/>
                <w:bCs/>
                <w:color w:val="000000"/>
                <w:sz w:val="20"/>
                <w:lang w:val="nl-BE" w:eastAsia="en-US"/>
              </w:rPr>
            </w:pPr>
            <w:r w:rsidRPr="00493E68">
              <w:rPr>
                <w:rFonts w:ascii="Verdana" w:eastAsiaTheme="minorHAnsi" w:hAnsi="Verdana" w:cs="Calibri"/>
                <w:b/>
                <w:bCs/>
                <w:color w:val="000000"/>
                <w:sz w:val="20"/>
                <w:lang w:val="nl-BE" w:eastAsia="en-US"/>
              </w:rPr>
              <w:t xml:space="preserve">land </w:t>
            </w:r>
          </w:p>
        </w:tc>
        <w:tc>
          <w:tcPr>
            <w:tcW w:w="3054" w:type="dxa"/>
          </w:tcPr>
          <w:p w14:paraId="354EB368" w14:textId="77777777" w:rsidR="00022F9B" w:rsidRPr="00493E68" w:rsidRDefault="00022F9B" w:rsidP="00494662">
            <w:pPr>
              <w:autoSpaceDE w:val="0"/>
              <w:autoSpaceDN w:val="0"/>
              <w:adjustRightInd w:val="0"/>
              <w:rPr>
                <w:rFonts w:ascii="Verdana" w:eastAsiaTheme="minorHAnsi" w:hAnsi="Verdana" w:cs="Calibri"/>
                <w:b/>
                <w:bCs/>
                <w:color w:val="000000"/>
                <w:sz w:val="20"/>
                <w:lang w:val="nl-BE" w:eastAsia="en-US"/>
              </w:rPr>
            </w:pPr>
            <w:r w:rsidRPr="00493E68">
              <w:rPr>
                <w:rFonts w:ascii="Verdana" w:eastAsiaTheme="minorHAnsi" w:hAnsi="Verdana" w:cs="Calibri"/>
                <w:b/>
                <w:bCs/>
                <w:color w:val="000000"/>
                <w:sz w:val="20"/>
                <w:lang w:val="nl-BE" w:eastAsia="en-US"/>
              </w:rPr>
              <w:t>aandeel in totale export</w:t>
            </w:r>
          </w:p>
        </w:tc>
      </w:tr>
      <w:tr w:rsidR="00022F9B" w:rsidRPr="00EB15AC" w14:paraId="24D2CD9C" w14:textId="77777777" w:rsidTr="00494662">
        <w:trPr>
          <w:trHeight w:val="290"/>
        </w:trPr>
        <w:tc>
          <w:tcPr>
            <w:tcW w:w="4738" w:type="dxa"/>
          </w:tcPr>
          <w:p w14:paraId="2E7FE7F6" w14:textId="77777777" w:rsidR="00022F9B" w:rsidRPr="00EB15AC" w:rsidRDefault="00022F9B" w:rsidP="00494662">
            <w:pPr>
              <w:autoSpaceDE w:val="0"/>
              <w:autoSpaceDN w:val="0"/>
              <w:adjustRightInd w:val="0"/>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Polen</w:t>
            </w:r>
          </w:p>
        </w:tc>
        <w:tc>
          <w:tcPr>
            <w:tcW w:w="3054" w:type="dxa"/>
          </w:tcPr>
          <w:p w14:paraId="7BF2988A" w14:textId="77777777" w:rsidR="00022F9B" w:rsidRPr="00EB15AC" w:rsidRDefault="00022F9B" w:rsidP="00494662">
            <w:pPr>
              <w:autoSpaceDE w:val="0"/>
              <w:autoSpaceDN w:val="0"/>
              <w:adjustRightInd w:val="0"/>
              <w:jc w:val="center"/>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24%</w:t>
            </w:r>
          </w:p>
        </w:tc>
      </w:tr>
      <w:tr w:rsidR="00022F9B" w:rsidRPr="00EB15AC" w14:paraId="6107F242" w14:textId="77777777" w:rsidTr="00494662">
        <w:trPr>
          <w:trHeight w:val="290"/>
        </w:trPr>
        <w:tc>
          <w:tcPr>
            <w:tcW w:w="4738" w:type="dxa"/>
          </w:tcPr>
          <w:p w14:paraId="4626ADAB" w14:textId="77777777" w:rsidR="00022F9B" w:rsidRPr="00EB15AC" w:rsidRDefault="00022F9B" w:rsidP="00494662">
            <w:pPr>
              <w:autoSpaceDE w:val="0"/>
              <w:autoSpaceDN w:val="0"/>
              <w:adjustRightInd w:val="0"/>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Duitsland</w:t>
            </w:r>
          </w:p>
        </w:tc>
        <w:tc>
          <w:tcPr>
            <w:tcW w:w="3054" w:type="dxa"/>
          </w:tcPr>
          <w:p w14:paraId="54E14459" w14:textId="77777777" w:rsidR="00022F9B" w:rsidRPr="00EB15AC" w:rsidRDefault="00022F9B" w:rsidP="00494662">
            <w:pPr>
              <w:autoSpaceDE w:val="0"/>
              <w:autoSpaceDN w:val="0"/>
              <w:adjustRightInd w:val="0"/>
              <w:jc w:val="center"/>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22%</w:t>
            </w:r>
          </w:p>
        </w:tc>
      </w:tr>
      <w:tr w:rsidR="00022F9B" w:rsidRPr="00EB15AC" w14:paraId="71E5F694" w14:textId="77777777" w:rsidTr="00494662">
        <w:trPr>
          <w:trHeight w:val="290"/>
        </w:trPr>
        <w:tc>
          <w:tcPr>
            <w:tcW w:w="4738" w:type="dxa"/>
          </w:tcPr>
          <w:p w14:paraId="08E5A559" w14:textId="77777777" w:rsidR="00022F9B" w:rsidRPr="00EB15AC" w:rsidRDefault="00022F9B" w:rsidP="00494662">
            <w:pPr>
              <w:autoSpaceDE w:val="0"/>
              <w:autoSpaceDN w:val="0"/>
              <w:adjustRightInd w:val="0"/>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Nederland</w:t>
            </w:r>
          </w:p>
        </w:tc>
        <w:tc>
          <w:tcPr>
            <w:tcW w:w="3054" w:type="dxa"/>
          </w:tcPr>
          <w:p w14:paraId="6D04F2DD" w14:textId="77777777" w:rsidR="00022F9B" w:rsidRPr="00EB15AC" w:rsidRDefault="00022F9B" w:rsidP="00494662">
            <w:pPr>
              <w:autoSpaceDE w:val="0"/>
              <w:autoSpaceDN w:val="0"/>
              <w:adjustRightInd w:val="0"/>
              <w:jc w:val="center"/>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14%</w:t>
            </w:r>
          </w:p>
        </w:tc>
      </w:tr>
      <w:tr w:rsidR="00022F9B" w:rsidRPr="00EB15AC" w14:paraId="0D180D74" w14:textId="77777777" w:rsidTr="00494662">
        <w:trPr>
          <w:trHeight w:val="290"/>
        </w:trPr>
        <w:tc>
          <w:tcPr>
            <w:tcW w:w="4738" w:type="dxa"/>
          </w:tcPr>
          <w:p w14:paraId="1E3173FE" w14:textId="77777777" w:rsidR="00022F9B" w:rsidRPr="00EB15AC" w:rsidRDefault="00022F9B" w:rsidP="00494662">
            <w:pPr>
              <w:autoSpaceDE w:val="0"/>
              <w:autoSpaceDN w:val="0"/>
              <w:adjustRightInd w:val="0"/>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Italië</w:t>
            </w:r>
          </w:p>
        </w:tc>
        <w:tc>
          <w:tcPr>
            <w:tcW w:w="3054" w:type="dxa"/>
          </w:tcPr>
          <w:p w14:paraId="6A3BA439" w14:textId="77777777" w:rsidR="00022F9B" w:rsidRPr="00EB15AC" w:rsidRDefault="00022F9B" w:rsidP="00494662">
            <w:pPr>
              <w:autoSpaceDE w:val="0"/>
              <w:autoSpaceDN w:val="0"/>
              <w:adjustRightInd w:val="0"/>
              <w:jc w:val="center"/>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7%</w:t>
            </w:r>
          </w:p>
        </w:tc>
      </w:tr>
      <w:tr w:rsidR="00022F9B" w:rsidRPr="00EB15AC" w14:paraId="5561DEE8" w14:textId="77777777" w:rsidTr="00494662">
        <w:trPr>
          <w:trHeight w:val="290"/>
        </w:trPr>
        <w:tc>
          <w:tcPr>
            <w:tcW w:w="4738" w:type="dxa"/>
          </w:tcPr>
          <w:p w14:paraId="6EC8E072" w14:textId="77777777" w:rsidR="00022F9B" w:rsidRPr="00EB15AC" w:rsidRDefault="00022F9B" w:rsidP="00494662">
            <w:pPr>
              <w:autoSpaceDE w:val="0"/>
              <w:autoSpaceDN w:val="0"/>
              <w:adjustRightInd w:val="0"/>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Tsjechië (Republiek)</w:t>
            </w:r>
          </w:p>
        </w:tc>
        <w:tc>
          <w:tcPr>
            <w:tcW w:w="3054" w:type="dxa"/>
          </w:tcPr>
          <w:p w14:paraId="2B57764B" w14:textId="77777777" w:rsidR="00022F9B" w:rsidRPr="00EB15AC" w:rsidRDefault="00022F9B" w:rsidP="00494662">
            <w:pPr>
              <w:autoSpaceDE w:val="0"/>
              <w:autoSpaceDN w:val="0"/>
              <w:adjustRightInd w:val="0"/>
              <w:jc w:val="center"/>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6%</w:t>
            </w:r>
          </w:p>
        </w:tc>
      </w:tr>
      <w:tr w:rsidR="00022F9B" w:rsidRPr="00EB15AC" w14:paraId="41757903" w14:textId="77777777" w:rsidTr="00494662">
        <w:trPr>
          <w:trHeight w:val="290"/>
        </w:trPr>
        <w:tc>
          <w:tcPr>
            <w:tcW w:w="4738" w:type="dxa"/>
          </w:tcPr>
          <w:p w14:paraId="26B144F2" w14:textId="77777777" w:rsidR="00022F9B" w:rsidRPr="00EB15AC" w:rsidRDefault="00022F9B" w:rsidP="00494662">
            <w:pPr>
              <w:autoSpaceDE w:val="0"/>
              <w:autoSpaceDN w:val="0"/>
              <w:adjustRightInd w:val="0"/>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Verenigd Koninkrijk (excl. Noord-Ierland)</w:t>
            </w:r>
          </w:p>
        </w:tc>
        <w:tc>
          <w:tcPr>
            <w:tcW w:w="3054" w:type="dxa"/>
          </w:tcPr>
          <w:p w14:paraId="79AEC982" w14:textId="77777777" w:rsidR="00022F9B" w:rsidRPr="00EB15AC" w:rsidRDefault="00022F9B" w:rsidP="00494662">
            <w:pPr>
              <w:autoSpaceDE w:val="0"/>
              <w:autoSpaceDN w:val="0"/>
              <w:adjustRightInd w:val="0"/>
              <w:jc w:val="center"/>
              <w:rPr>
                <w:rFonts w:ascii="Verdana" w:eastAsiaTheme="minorHAnsi" w:hAnsi="Verdana" w:cs="Calibri"/>
                <w:color w:val="000000"/>
                <w:sz w:val="20"/>
                <w:lang w:val="nl-BE" w:eastAsia="en-US"/>
              </w:rPr>
            </w:pPr>
            <w:r w:rsidRPr="00EB15AC">
              <w:rPr>
                <w:rFonts w:ascii="Verdana" w:eastAsiaTheme="minorHAnsi" w:hAnsi="Verdana" w:cs="Calibri"/>
                <w:color w:val="000000"/>
                <w:sz w:val="20"/>
                <w:lang w:val="nl-BE" w:eastAsia="en-US"/>
              </w:rPr>
              <w:t>6%</w:t>
            </w:r>
          </w:p>
        </w:tc>
      </w:tr>
    </w:tbl>
    <w:p w14:paraId="52B03A6F" w14:textId="77777777" w:rsidR="00022F9B" w:rsidRPr="00251506" w:rsidRDefault="00022F9B" w:rsidP="00022F9B">
      <w:pPr>
        <w:pStyle w:val="StijlStandaardSVVerdana10ptCursiefLinks-175cm"/>
        <w:ind w:left="360"/>
        <w:jc w:val="left"/>
        <w:rPr>
          <w:rFonts w:eastAsia="Calibri"/>
          <w:iCs w:val="0"/>
          <w:lang w:val="nl-BE" w:eastAsia="en-US"/>
        </w:rPr>
      </w:pPr>
      <w:r w:rsidRPr="00251506">
        <w:rPr>
          <w:rFonts w:eastAsia="Calibri"/>
          <w:iCs w:val="0"/>
          <w:lang w:val="nl-BE" w:eastAsia="en-US"/>
        </w:rPr>
        <w:t>Bron: Departement Landbouw en Visserij op basis van NBB</w:t>
      </w:r>
    </w:p>
    <w:p w14:paraId="4DBEA611" w14:textId="77777777" w:rsidR="00022F9B" w:rsidRDefault="00022F9B" w:rsidP="00022F9B">
      <w:pPr>
        <w:pStyle w:val="StijlStandaardSVVerdana10ptCursiefLinks-175cm"/>
        <w:ind w:left="360"/>
        <w:jc w:val="left"/>
        <w:rPr>
          <w:rFonts w:eastAsia="Calibri"/>
          <w:i w:val="0"/>
          <w:lang w:val="nl-BE" w:eastAsia="en-US"/>
        </w:rPr>
      </w:pPr>
    </w:p>
    <w:p w14:paraId="25F5A9AD" w14:textId="77777777" w:rsidR="00022F9B" w:rsidRPr="00785271" w:rsidRDefault="00022F9B" w:rsidP="00022F9B">
      <w:pPr>
        <w:pStyle w:val="StijlStandaardSVVerdana10ptCursiefLinks-175cm"/>
        <w:ind w:left="360"/>
        <w:jc w:val="left"/>
        <w:rPr>
          <w:rFonts w:eastAsia="Calibri"/>
          <w:b/>
          <w:bCs/>
          <w:i w:val="0"/>
          <w:lang w:val="nl-BE" w:eastAsia="en-US"/>
        </w:rPr>
      </w:pPr>
      <w:r w:rsidRPr="00C26603">
        <w:rPr>
          <w:rFonts w:eastAsia="Calibri"/>
          <w:b/>
          <w:bCs/>
          <w:i w:val="0"/>
          <w:u w:val="single"/>
          <w:lang w:val="nl-BE" w:eastAsia="en-US"/>
        </w:rPr>
        <w:t>Bijlage 3.</w:t>
      </w:r>
      <w:r w:rsidRPr="00785271">
        <w:rPr>
          <w:rFonts w:eastAsia="Calibri"/>
          <w:b/>
          <w:bCs/>
          <w:i w:val="0"/>
          <w:lang w:val="nl-BE" w:eastAsia="en-US"/>
        </w:rPr>
        <w:t xml:space="preserve"> </w:t>
      </w:r>
      <w:r>
        <w:rPr>
          <w:rFonts w:eastAsia="Calibri"/>
          <w:b/>
          <w:bCs/>
          <w:i w:val="0"/>
          <w:lang w:val="nl-BE" w:eastAsia="en-US"/>
        </w:rPr>
        <w:t xml:space="preserve">Jaarlijkse </w:t>
      </w:r>
      <w:r w:rsidRPr="00785271">
        <w:rPr>
          <w:rFonts w:eastAsia="Calibri"/>
          <w:b/>
          <w:bCs/>
          <w:i w:val="0"/>
          <w:lang w:val="nl-BE" w:eastAsia="en-US"/>
        </w:rPr>
        <w:t>Vlaamse export van varkensvlees naar specifieke landen</w:t>
      </w:r>
      <w:r>
        <w:rPr>
          <w:rFonts w:eastAsia="Calibri"/>
          <w:b/>
          <w:bCs/>
          <w:i w:val="0"/>
          <w:lang w:val="nl-BE" w:eastAsia="en-US"/>
        </w:rPr>
        <w:t xml:space="preserve"> in de</w:t>
      </w:r>
      <w:r w:rsidRPr="00785271">
        <w:rPr>
          <w:rFonts w:eastAsia="Calibri"/>
          <w:b/>
          <w:bCs/>
          <w:i w:val="0"/>
          <w:lang w:val="nl-BE" w:eastAsia="en-US"/>
        </w:rPr>
        <w:t xml:space="preserve"> eerste 10 maanden van het jaar, </w:t>
      </w:r>
      <w:r>
        <w:rPr>
          <w:rFonts w:eastAsia="Calibri"/>
          <w:b/>
          <w:bCs/>
          <w:i w:val="0"/>
          <w:lang w:val="nl-BE" w:eastAsia="en-US"/>
        </w:rPr>
        <w:t xml:space="preserve">uitgedrukt </w:t>
      </w:r>
      <w:r w:rsidRPr="00785271">
        <w:rPr>
          <w:rFonts w:eastAsia="Calibri"/>
          <w:b/>
          <w:bCs/>
          <w:i w:val="0"/>
          <w:lang w:val="nl-BE" w:eastAsia="en-US"/>
        </w:rPr>
        <w:t xml:space="preserve">in kg, </w:t>
      </w:r>
      <w:r>
        <w:rPr>
          <w:rFonts w:eastAsia="Calibri"/>
          <w:b/>
          <w:bCs/>
          <w:i w:val="0"/>
          <w:lang w:val="nl-BE" w:eastAsia="en-US"/>
        </w:rPr>
        <w:t xml:space="preserve">voor de periode </w:t>
      </w:r>
      <w:r w:rsidRPr="00785271">
        <w:rPr>
          <w:rFonts w:eastAsia="Calibri"/>
          <w:b/>
          <w:bCs/>
          <w:i w:val="0"/>
          <w:lang w:val="nl-BE" w:eastAsia="en-US"/>
        </w:rPr>
        <w:t>2014-2018.</w:t>
      </w:r>
    </w:p>
    <w:tbl>
      <w:tblPr>
        <w:tblStyle w:val="Tabelrasterlicht"/>
        <w:tblW w:w="93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1382"/>
        <w:gridCol w:w="1354"/>
        <w:gridCol w:w="1481"/>
        <w:gridCol w:w="1276"/>
        <w:gridCol w:w="1276"/>
      </w:tblGrid>
      <w:tr w:rsidR="00022F9B" w:rsidRPr="00AA0AA2" w14:paraId="7FCA96BF" w14:textId="77777777" w:rsidTr="00494662">
        <w:trPr>
          <w:trHeight w:val="290"/>
        </w:trPr>
        <w:tc>
          <w:tcPr>
            <w:tcW w:w="2582" w:type="dxa"/>
          </w:tcPr>
          <w:p w14:paraId="5C7B20F8"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p>
        </w:tc>
        <w:tc>
          <w:tcPr>
            <w:tcW w:w="1382" w:type="dxa"/>
          </w:tcPr>
          <w:p w14:paraId="7AACC31A"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2014</w:t>
            </w:r>
          </w:p>
        </w:tc>
        <w:tc>
          <w:tcPr>
            <w:tcW w:w="1354" w:type="dxa"/>
          </w:tcPr>
          <w:p w14:paraId="50C5A3B2"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2015</w:t>
            </w:r>
          </w:p>
        </w:tc>
        <w:tc>
          <w:tcPr>
            <w:tcW w:w="1481" w:type="dxa"/>
          </w:tcPr>
          <w:p w14:paraId="4925C931"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2016</w:t>
            </w:r>
          </w:p>
        </w:tc>
        <w:tc>
          <w:tcPr>
            <w:tcW w:w="1276" w:type="dxa"/>
          </w:tcPr>
          <w:p w14:paraId="49A43B5C"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2017</w:t>
            </w:r>
          </w:p>
        </w:tc>
        <w:tc>
          <w:tcPr>
            <w:tcW w:w="1276" w:type="dxa"/>
          </w:tcPr>
          <w:p w14:paraId="3C861B1A"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2018</w:t>
            </w:r>
          </w:p>
        </w:tc>
      </w:tr>
      <w:tr w:rsidR="00022F9B" w:rsidRPr="00AA0AA2" w14:paraId="1DE09805" w14:textId="77777777" w:rsidTr="00494662">
        <w:trPr>
          <w:trHeight w:val="290"/>
        </w:trPr>
        <w:tc>
          <w:tcPr>
            <w:tcW w:w="2582" w:type="dxa"/>
          </w:tcPr>
          <w:p w14:paraId="1A062995" w14:textId="77777777" w:rsidR="00022F9B" w:rsidRPr="00AA0AA2" w:rsidRDefault="00022F9B" w:rsidP="00494662">
            <w:pPr>
              <w:autoSpaceDE w:val="0"/>
              <w:autoSpaceDN w:val="0"/>
              <w:adjustRightInd w:val="0"/>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China (Volksrepubliek)</w:t>
            </w:r>
          </w:p>
        </w:tc>
        <w:tc>
          <w:tcPr>
            <w:tcW w:w="1382" w:type="dxa"/>
          </w:tcPr>
          <w:p w14:paraId="7975E6E8"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2.620.223</w:t>
            </w:r>
          </w:p>
        </w:tc>
        <w:tc>
          <w:tcPr>
            <w:tcW w:w="1354" w:type="dxa"/>
          </w:tcPr>
          <w:p w14:paraId="3B2851CF"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6.010.377</w:t>
            </w:r>
          </w:p>
        </w:tc>
        <w:tc>
          <w:tcPr>
            <w:tcW w:w="1481" w:type="dxa"/>
          </w:tcPr>
          <w:p w14:paraId="14D75209"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10.009.289</w:t>
            </w:r>
          </w:p>
        </w:tc>
        <w:tc>
          <w:tcPr>
            <w:tcW w:w="1276" w:type="dxa"/>
          </w:tcPr>
          <w:p w14:paraId="2372E2F6"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4.870.973</w:t>
            </w:r>
          </w:p>
        </w:tc>
        <w:tc>
          <w:tcPr>
            <w:tcW w:w="1276" w:type="dxa"/>
          </w:tcPr>
          <w:p w14:paraId="0979B9FB"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3.565.917</w:t>
            </w:r>
          </w:p>
        </w:tc>
      </w:tr>
      <w:tr w:rsidR="00022F9B" w:rsidRPr="00AA0AA2" w14:paraId="521AC994" w14:textId="77777777" w:rsidTr="00494662">
        <w:trPr>
          <w:trHeight w:val="290"/>
        </w:trPr>
        <w:tc>
          <w:tcPr>
            <w:tcW w:w="2582" w:type="dxa"/>
          </w:tcPr>
          <w:p w14:paraId="4C34B662" w14:textId="77777777" w:rsidR="00022F9B" w:rsidRPr="00AA0AA2" w:rsidRDefault="00022F9B" w:rsidP="00494662">
            <w:pPr>
              <w:autoSpaceDE w:val="0"/>
              <w:autoSpaceDN w:val="0"/>
              <w:adjustRightInd w:val="0"/>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Taiwan</w:t>
            </w:r>
          </w:p>
        </w:tc>
        <w:tc>
          <w:tcPr>
            <w:tcW w:w="1382" w:type="dxa"/>
          </w:tcPr>
          <w:p w14:paraId="1D459AC8"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p>
        </w:tc>
        <w:tc>
          <w:tcPr>
            <w:tcW w:w="1354" w:type="dxa"/>
          </w:tcPr>
          <w:p w14:paraId="124FA195"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p>
        </w:tc>
        <w:tc>
          <w:tcPr>
            <w:tcW w:w="1481" w:type="dxa"/>
          </w:tcPr>
          <w:p w14:paraId="13F68A14"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p>
        </w:tc>
        <w:tc>
          <w:tcPr>
            <w:tcW w:w="1276" w:type="dxa"/>
          </w:tcPr>
          <w:p w14:paraId="741BD689"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26.560</w:t>
            </w:r>
          </w:p>
        </w:tc>
        <w:tc>
          <w:tcPr>
            <w:tcW w:w="1276" w:type="dxa"/>
          </w:tcPr>
          <w:p w14:paraId="6B024B97"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117.061</w:t>
            </w:r>
          </w:p>
        </w:tc>
      </w:tr>
      <w:tr w:rsidR="00022F9B" w:rsidRPr="00AA0AA2" w14:paraId="547F4ADC" w14:textId="77777777" w:rsidTr="00494662">
        <w:trPr>
          <w:trHeight w:val="290"/>
        </w:trPr>
        <w:tc>
          <w:tcPr>
            <w:tcW w:w="2582" w:type="dxa"/>
          </w:tcPr>
          <w:p w14:paraId="68B417FE" w14:textId="77777777" w:rsidR="00022F9B" w:rsidRPr="00AA0AA2" w:rsidRDefault="00022F9B" w:rsidP="00494662">
            <w:pPr>
              <w:autoSpaceDE w:val="0"/>
              <w:autoSpaceDN w:val="0"/>
              <w:adjustRightInd w:val="0"/>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Zuid-Afrika</w:t>
            </w:r>
          </w:p>
        </w:tc>
        <w:tc>
          <w:tcPr>
            <w:tcW w:w="1382" w:type="dxa"/>
          </w:tcPr>
          <w:p w14:paraId="60095452"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572.438</w:t>
            </w:r>
          </w:p>
        </w:tc>
        <w:tc>
          <w:tcPr>
            <w:tcW w:w="1354" w:type="dxa"/>
          </w:tcPr>
          <w:p w14:paraId="60F4C0F4"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623.123</w:t>
            </w:r>
          </w:p>
        </w:tc>
        <w:tc>
          <w:tcPr>
            <w:tcW w:w="1481" w:type="dxa"/>
          </w:tcPr>
          <w:p w14:paraId="289B3173"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534.044</w:t>
            </w:r>
          </w:p>
        </w:tc>
        <w:tc>
          <w:tcPr>
            <w:tcW w:w="1276" w:type="dxa"/>
          </w:tcPr>
          <w:p w14:paraId="64C4D654"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859.445</w:t>
            </w:r>
          </w:p>
        </w:tc>
        <w:tc>
          <w:tcPr>
            <w:tcW w:w="1276" w:type="dxa"/>
          </w:tcPr>
          <w:p w14:paraId="6E5F2E47"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415.588</w:t>
            </w:r>
          </w:p>
        </w:tc>
      </w:tr>
      <w:tr w:rsidR="00022F9B" w:rsidRPr="00AA0AA2" w14:paraId="08EB61F2" w14:textId="77777777" w:rsidTr="00494662">
        <w:trPr>
          <w:trHeight w:val="290"/>
        </w:trPr>
        <w:tc>
          <w:tcPr>
            <w:tcW w:w="2582" w:type="dxa"/>
          </w:tcPr>
          <w:p w14:paraId="3267B782" w14:textId="77777777" w:rsidR="00022F9B" w:rsidRPr="00AA0AA2" w:rsidRDefault="00022F9B" w:rsidP="00494662">
            <w:pPr>
              <w:autoSpaceDE w:val="0"/>
              <w:autoSpaceDN w:val="0"/>
              <w:adjustRightInd w:val="0"/>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Australië</w:t>
            </w:r>
          </w:p>
        </w:tc>
        <w:tc>
          <w:tcPr>
            <w:tcW w:w="1382" w:type="dxa"/>
          </w:tcPr>
          <w:p w14:paraId="4FF7CB0B"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847.459</w:t>
            </w:r>
          </w:p>
        </w:tc>
        <w:tc>
          <w:tcPr>
            <w:tcW w:w="1354" w:type="dxa"/>
          </w:tcPr>
          <w:p w14:paraId="70355683"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2.273.765</w:t>
            </w:r>
          </w:p>
        </w:tc>
        <w:tc>
          <w:tcPr>
            <w:tcW w:w="1481" w:type="dxa"/>
          </w:tcPr>
          <w:p w14:paraId="4944C08C"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3.037.266</w:t>
            </w:r>
          </w:p>
        </w:tc>
        <w:tc>
          <w:tcPr>
            <w:tcW w:w="1276" w:type="dxa"/>
          </w:tcPr>
          <w:p w14:paraId="6D9B967F"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2.989.752</w:t>
            </w:r>
          </w:p>
        </w:tc>
        <w:tc>
          <w:tcPr>
            <w:tcW w:w="1276" w:type="dxa"/>
          </w:tcPr>
          <w:p w14:paraId="04E96599" w14:textId="77777777" w:rsidR="00022F9B" w:rsidRPr="00AA0AA2" w:rsidRDefault="00022F9B" w:rsidP="00494662">
            <w:pPr>
              <w:autoSpaceDE w:val="0"/>
              <w:autoSpaceDN w:val="0"/>
              <w:adjustRightInd w:val="0"/>
              <w:jc w:val="right"/>
              <w:rPr>
                <w:rFonts w:ascii="Verdana" w:eastAsiaTheme="minorHAnsi" w:hAnsi="Verdana" w:cs="Calibri"/>
                <w:color w:val="000000"/>
                <w:sz w:val="20"/>
                <w:lang w:val="nl-BE" w:eastAsia="en-US"/>
              </w:rPr>
            </w:pPr>
            <w:r w:rsidRPr="00AA0AA2">
              <w:rPr>
                <w:rFonts w:ascii="Verdana" w:eastAsiaTheme="minorHAnsi" w:hAnsi="Verdana" w:cs="Calibri"/>
                <w:color w:val="000000"/>
                <w:sz w:val="20"/>
                <w:lang w:val="nl-BE" w:eastAsia="en-US"/>
              </w:rPr>
              <w:t>1.240.005</w:t>
            </w:r>
          </w:p>
        </w:tc>
      </w:tr>
    </w:tbl>
    <w:p w14:paraId="49193FB4" w14:textId="77777777" w:rsidR="00022F9B" w:rsidRPr="00251506" w:rsidRDefault="00022F9B" w:rsidP="00022F9B">
      <w:pPr>
        <w:pStyle w:val="StijlStandaardSVVerdana10ptCursiefLinks-175cm"/>
        <w:ind w:left="360"/>
        <w:jc w:val="left"/>
        <w:rPr>
          <w:rFonts w:eastAsia="Calibri"/>
          <w:iCs w:val="0"/>
          <w:lang w:val="nl-BE" w:eastAsia="en-US"/>
        </w:rPr>
      </w:pPr>
      <w:r w:rsidRPr="00251506">
        <w:rPr>
          <w:rFonts w:eastAsia="Calibri"/>
          <w:iCs w:val="0"/>
          <w:lang w:val="nl-BE" w:eastAsia="en-US"/>
        </w:rPr>
        <w:t>Bron: Departement Landbouw en Visserij op basis van NBB</w:t>
      </w:r>
    </w:p>
    <w:p w14:paraId="68ADBE78" w14:textId="77777777" w:rsidR="00022F9B" w:rsidRDefault="00022F9B" w:rsidP="00022F9B">
      <w:pPr>
        <w:pStyle w:val="StijlStandaardSVVerdana10ptCursiefLinks-175cm"/>
        <w:ind w:left="360"/>
        <w:jc w:val="left"/>
        <w:rPr>
          <w:rFonts w:eastAsia="Calibri"/>
          <w:i w:val="0"/>
          <w:lang w:val="nl-BE" w:eastAsia="en-US"/>
        </w:rPr>
      </w:pPr>
    </w:p>
    <w:p w14:paraId="6C70F8E1" w14:textId="77777777" w:rsidR="00022F9B" w:rsidRPr="007943E3" w:rsidRDefault="00022F9B" w:rsidP="00022F9B">
      <w:pPr>
        <w:pStyle w:val="StijlStandaardSVVerdana10ptCursiefLinks-175cm"/>
        <w:ind w:left="360"/>
        <w:jc w:val="left"/>
        <w:rPr>
          <w:rFonts w:eastAsia="Calibri"/>
          <w:b/>
          <w:bCs/>
          <w:i w:val="0"/>
          <w:lang w:val="nl-BE" w:eastAsia="en-US"/>
        </w:rPr>
      </w:pPr>
      <w:r w:rsidRPr="00C26603">
        <w:rPr>
          <w:rFonts w:eastAsia="Calibri"/>
          <w:b/>
          <w:bCs/>
          <w:i w:val="0"/>
          <w:u w:val="single"/>
          <w:lang w:val="nl-BE" w:eastAsia="en-US"/>
        </w:rPr>
        <w:t>Bijlage 4.</w:t>
      </w:r>
      <w:r w:rsidRPr="007943E3">
        <w:rPr>
          <w:rFonts w:eastAsia="Calibri"/>
          <w:b/>
          <w:bCs/>
          <w:i w:val="0"/>
          <w:lang w:val="nl-BE" w:eastAsia="en-US"/>
        </w:rPr>
        <w:t xml:space="preserve"> Aantal bedrijven met varkens in Vlaanderen per provincie, 2012 en 2021</w:t>
      </w:r>
    </w:p>
    <w:tbl>
      <w:tblPr>
        <w:tblW w:w="4180" w:type="dxa"/>
        <w:tblInd w:w="421" w:type="dxa"/>
        <w:tblCellMar>
          <w:left w:w="70" w:type="dxa"/>
          <w:right w:w="70" w:type="dxa"/>
        </w:tblCellMar>
        <w:tblLook w:val="04A0" w:firstRow="1" w:lastRow="0" w:firstColumn="1" w:lastColumn="0" w:noHBand="0" w:noVBand="1"/>
      </w:tblPr>
      <w:tblGrid>
        <w:gridCol w:w="2260"/>
        <w:gridCol w:w="960"/>
        <w:gridCol w:w="960"/>
      </w:tblGrid>
      <w:tr w:rsidR="00022F9B" w:rsidRPr="007943E3" w14:paraId="39522760" w14:textId="77777777" w:rsidTr="00494662">
        <w:trPr>
          <w:trHeight w:val="312"/>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8B02C"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 </w:t>
            </w:r>
          </w:p>
        </w:tc>
        <w:tc>
          <w:tcPr>
            <w:tcW w:w="960" w:type="dxa"/>
            <w:tcBorders>
              <w:top w:val="single" w:sz="4" w:space="0" w:color="auto"/>
              <w:left w:val="nil"/>
              <w:bottom w:val="single" w:sz="4" w:space="0" w:color="auto"/>
              <w:right w:val="nil"/>
            </w:tcBorders>
            <w:shd w:val="clear" w:color="auto" w:fill="auto"/>
            <w:noWrap/>
            <w:vAlign w:val="center"/>
            <w:hideMark/>
          </w:tcPr>
          <w:p w14:paraId="795B5921" w14:textId="77777777" w:rsidR="00022F9B" w:rsidRPr="007943E3" w:rsidRDefault="00022F9B" w:rsidP="00494662">
            <w:pPr>
              <w:jc w:val="center"/>
              <w:rPr>
                <w:rFonts w:ascii="Verdana" w:hAnsi="Verdana" w:cs="Calibri"/>
                <w:sz w:val="20"/>
                <w:lang w:val="nl-BE" w:eastAsia="nl-BE"/>
              </w:rPr>
            </w:pPr>
            <w:r w:rsidRPr="007943E3">
              <w:rPr>
                <w:rFonts w:ascii="Verdana" w:hAnsi="Verdana" w:cs="Calibri"/>
                <w:sz w:val="20"/>
                <w:lang w:val="nl-BE" w:eastAsia="nl-BE"/>
              </w:rPr>
              <w:t>2012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3C54" w14:textId="77777777" w:rsidR="00022F9B" w:rsidRPr="007943E3" w:rsidRDefault="00022F9B" w:rsidP="00494662">
            <w:pPr>
              <w:jc w:val="center"/>
              <w:rPr>
                <w:rFonts w:ascii="Verdana" w:hAnsi="Verdana" w:cs="Calibri"/>
                <w:sz w:val="20"/>
                <w:lang w:val="nl-BE" w:eastAsia="nl-BE"/>
              </w:rPr>
            </w:pPr>
            <w:r w:rsidRPr="007943E3">
              <w:rPr>
                <w:rFonts w:ascii="Verdana" w:hAnsi="Verdana" w:cs="Calibri"/>
                <w:sz w:val="20"/>
                <w:lang w:val="nl-BE" w:eastAsia="nl-BE"/>
              </w:rPr>
              <w:t>2021</w:t>
            </w:r>
          </w:p>
        </w:tc>
      </w:tr>
      <w:tr w:rsidR="00022F9B" w:rsidRPr="007943E3" w14:paraId="03B4A2AD" w14:textId="77777777" w:rsidTr="00494662">
        <w:trPr>
          <w:trHeight w:val="312"/>
        </w:trPr>
        <w:tc>
          <w:tcPr>
            <w:tcW w:w="2260" w:type="dxa"/>
            <w:tcBorders>
              <w:top w:val="nil"/>
              <w:left w:val="single" w:sz="4" w:space="0" w:color="auto"/>
              <w:bottom w:val="nil"/>
              <w:right w:val="single" w:sz="4" w:space="0" w:color="auto"/>
            </w:tcBorders>
            <w:shd w:val="clear" w:color="auto" w:fill="auto"/>
            <w:vAlign w:val="center"/>
            <w:hideMark/>
          </w:tcPr>
          <w:p w14:paraId="1FBD64F2" w14:textId="77777777" w:rsidR="00022F9B" w:rsidRPr="007943E3" w:rsidRDefault="00022F9B" w:rsidP="00494662">
            <w:pPr>
              <w:rPr>
                <w:rFonts w:ascii="Verdana" w:hAnsi="Verdana" w:cs="Calibri"/>
                <w:sz w:val="20"/>
                <w:lang w:val="nl-BE" w:eastAsia="nl-BE"/>
              </w:rPr>
            </w:pPr>
            <w:r w:rsidRPr="007943E3">
              <w:rPr>
                <w:rFonts w:ascii="Verdana" w:hAnsi="Verdana" w:cs="Calibri"/>
                <w:sz w:val="20"/>
                <w:lang w:val="nl-BE" w:eastAsia="nl-BE"/>
              </w:rPr>
              <w:t>Antwerpen</w:t>
            </w:r>
          </w:p>
        </w:tc>
        <w:tc>
          <w:tcPr>
            <w:tcW w:w="960" w:type="dxa"/>
            <w:tcBorders>
              <w:top w:val="nil"/>
              <w:left w:val="nil"/>
              <w:bottom w:val="nil"/>
              <w:right w:val="nil"/>
            </w:tcBorders>
            <w:shd w:val="clear" w:color="auto" w:fill="auto"/>
            <w:noWrap/>
            <w:vAlign w:val="center"/>
            <w:hideMark/>
          </w:tcPr>
          <w:p w14:paraId="3FD64DF0"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594</w:t>
            </w:r>
          </w:p>
        </w:tc>
        <w:tc>
          <w:tcPr>
            <w:tcW w:w="960" w:type="dxa"/>
            <w:tcBorders>
              <w:top w:val="nil"/>
              <w:left w:val="single" w:sz="4" w:space="0" w:color="auto"/>
              <w:bottom w:val="nil"/>
              <w:right w:val="single" w:sz="4" w:space="0" w:color="auto"/>
            </w:tcBorders>
            <w:shd w:val="clear" w:color="auto" w:fill="auto"/>
            <w:noWrap/>
            <w:vAlign w:val="center"/>
            <w:hideMark/>
          </w:tcPr>
          <w:p w14:paraId="1B78C89B"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449</w:t>
            </w:r>
          </w:p>
        </w:tc>
      </w:tr>
      <w:tr w:rsidR="00022F9B" w:rsidRPr="007943E3" w14:paraId="38B72A43" w14:textId="77777777" w:rsidTr="00494662">
        <w:trPr>
          <w:trHeight w:val="312"/>
        </w:trPr>
        <w:tc>
          <w:tcPr>
            <w:tcW w:w="2260" w:type="dxa"/>
            <w:tcBorders>
              <w:top w:val="nil"/>
              <w:left w:val="single" w:sz="4" w:space="0" w:color="auto"/>
              <w:bottom w:val="nil"/>
              <w:right w:val="single" w:sz="4" w:space="0" w:color="auto"/>
            </w:tcBorders>
            <w:shd w:val="clear" w:color="auto" w:fill="auto"/>
            <w:vAlign w:val="center"/>
            <w:hideMark/>
          </w:tcPr>
          <w:p w14:paraId="43D17B73" w14:textId="77777777" w:rsidR="00022F9B" w:rsidRPr="007943E3" w:rsidRDefault="00022F9B" w:rsidP="00494662">
            <w:pPr>
              <w:rPr>
                <w:rFonts w:ascii="Verdana" w:hAnsi="Verdana" w:cs="Calibri"/>
                <w:sz w:val="20"/>
                <w:lang w:val="nl-BE" w:eastAsia="nl-BE"/>
              </w:rPr>
            </w:pPr>
            <w:r w:rsidRPr="007943E3">
              <w:rPr>
                <w:rFonts w:ascii="Verdana" w:hAnsi="Verdana" w:cs="Calibri"/>
                <w:sz w:val="20"/>
                <w:lang w:val="nl-BE" w:eastAsia="nl-BE"/>
              </w:rPr>
              <w:t>Vlaams-Brabant</w:t>
            </w:r>
          </w:p>
        </w:tc>
        <w:tc>
          <w:tcPr>
            <w:tcW w:w="960" w:type="dxa"/>
            <w:tcBorders>
              <w:top w:val="nil"/>
              <w:left w:val="nil"/>
              <w:bottom w:val="nil"/>
              <w:right w:val="nil"/>
            </w:tcBorders>
            <w:shd w:val="clear" w:color="auto" w:fill="auto"/>
            <w:noWrap/>
            <w:vAlign w:val="center"/>
            <w:hideMark/>
          </w:tcPr>
          <w:p w14:paraId="5679B1E2"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190</w:t>
            </w:r>
          </w:p>
        </w:tc>
        <w:tc>
          <w:tcPr>
            <w:tcW w:w="960" w:type="dxa"/>
            <w:tcBorders>
              <w:top w:val="nil"/>
              <w:left w:val="single" w:sz="4" w:space="0" w:color="auto"/>
              <w:bottom w:val="nil"/>
              <w:right w:val="single" w:sz="4" w:space="0" w:color="auto"/>
            </w:tcBorders>
            <w:shd w:val="clear" w:color="auto" w:fill="auto"/>
            <w:noWrap/>
            <w:vAlign w:val="center"/>
            <w:hideMark/>
          </w:tcPr>
          <w:p w14:paraId="15AA1368"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125</w:t>
            </w:r>
          </w:p>
        </w:tc>
      </w:tr>
      <w:tr w:rsidR="00022F9B" w:rsidRPr="007943E3" w14:paraId="6949F50F" w14:textId="77777777" w:rsidTr="00494662">
        <w:trPr>
          <w:trHeight w:val="312"/>
        </w:trPr>
        <w:tc>
          <w:tcPr>
            <w:tcW w:w="2260" w:type="dxa"/>
            <w:tcBorders>
              <w:top w:val="nil"/>
              <w:left w:val="single" w:sz="4" w:space="0" w:color="auto"/>
              <w:bottom w:val="nil"/>
              <w:right w:val="single" w:sz="4" w:space="0" w:color="auto"/>
            </w:tcBorders>
            <w:shd w:val="clear" w:color="auto" w:fill="auto"/>
            <w:vAlign w:val="center"/>
            <w:hideMark/>
          </w:tcPr>
          <w:p w14:paraId="65DD2FFE" w14:textId="77777777" w:rsidR="00022F9B" w:rsidRPr="007943E3" w:rsidRDefault="00022F9B" w:rsidP="00494662">
            <w:pPr>
              <w:rPr>
                <w:rFonts w:ascii="Verdana" w:hAnsi="Verdana" w:cs="Calibri"/>
                <w:sz w:val="20"/>
                <w:lang w:val="nl-BE" w:eastAsia="nl-BE"/>
              </w:rPr>
            </w:pPr>
            <w:r w:rsidRPr="007943E3">
              <w:rPr>
                <w:rFonts w:ascii="Verdana" w:hAnsi="Verdana" w:cs="Calibri"/>
                <w:sz w:val="20"/>
                <w:lang w:val="nl-BE" w:eastAsia="nl-BE"/>
              </w:rPr>
              <w:t>West-Vlaanderen</w:t>
            </w:r>
          </w:p>
        </w:tc>
        <w:tc>
          <w:tcPr>
            <w:tcW w:w="960" w:type="dxa"/>
            <w:tcBorders>
              <w:top w:val="nil"/>
              <w:left w:val="nil"/>
              <w:bottom w:val="nil"/>
              <w:right w:val="nil"/>
            </w:tcBorders>
            <w:shd w:val="clear" w:color="auto" w:fill="auto"/>
            <w:noWrap/>
            <w:vAlign w:val="center"/>
            <w:hideMark/>
          </w:tcPr>
          <w:p w14:paraId="71871370"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2</w:t>
            </w:r>
            <w:r>
              <w:rPr>
                <w:rFonts w:ascii="Verdana" w:hAnsi="Verdana" w:cs="Calibri"/>
                <w:sz w:val="20"/>
                <w:lang w:val="nl-BE" w:eastAsia="nl-BE"/>
              </w:rPr>
              <w:t>.</w:t>
            </w:r>
            <w:r w:rsidRPr="007943E3">
              <w:rPr>
                <w:rFonts w:ascii="Verdana" w:hAnsi="Verdana" w:cs="Calibri"/>
                <w:sz w:val="20"/>
                <w:lang w:val="nl-BE" w:eastAsia="nl-BE"/>
              </w:rPr>
              <w:t>577</w:t>
            </w:r>
          </w:p>
        </w:tc>
        <w:tc>
          <w:tcPr>
            <w:tcW w:w="960" w:type="dxa"/>
            <w:tcBorders>
              <w:top w:val="nil"/>
              <w:left w:val="single" w:sz="4" w:space="0" w:color="auto"/>
              <w:bottom w:val="nil"/>
              <w:right w:val="single" w:sz="4" w:space="0" w:color="auto"/>
            </w:tcBorders>
            <w:shd w:val="clear" w:color="auto" w:fill="auto"/>
            <w:noWrap/>
            <w:vAlign w:val="center"/>
            <w:hideMark/>
          </w:tcPr>
          <w:p w14:paraId="6601ACAA"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1</w:t>
            </w:r>
            <w:r>
              <w:rPr>
                <w:rFonts w:ascii="Verdana" w:hAnsi="Verdana" w:cs="Calibri"/>
                <w:sz w:val="20"/>
                <w:lang w:val="nl-BE" w:eastAsia="nl-BE"/>
              </w:rPr>
              <w:t>.</w:t>
            </w:r>
            <w:r w:rsidRPr="007943E3">
              <w:rPr>
                <w:rFonts w:ascii="Verdana" w:hAnsi="Verdana" w:cs="Calibri"/>
                <w:sz w:val="20"/>
                <w:lang w:val="nl-BE" w:eastAsia="nl-BE"/>
              </w:rPr>
              <w:t>999</w:t>
            </w:r>
          </w:p>
        </w:tc>
      </w:tr>
      <w:tr w:rsidR="00022F9B" w:rsidRPr="007943E3" w14:paraId="51E1FE1B" w14:textId="77777777" w:rsidTr="00494662">
        <w:trPr>
          <w:trHeight w:val="312"/>
        </w:trPr>
        <w:tc>
          <w:tcPr>
            <w:tcW w:w="2260" w:type="dxa"/>
            <w:tcBorders>
              <w:top w:val="nil"/>
              <w:left w:val="single" w:sz="4" w:space="0" w:color="auto"/>
              <w:bottom w:val="nil"/>
              <w:right w:val="single" w:sz="4" w:space="0" w:color="auto"/>
            </w:tcBorders>
            <w:shd w:val="clear" w:color="auto" w:fill="auto"/>
            <w:vAlign w:val="center"/>
            <w:hideMark/>
          </w:tcPr>
          <w:p w14:paraId="554B3197" w14:textId="77777777" w:rsidR="00022F9B" w:rsidRPr="007943E3" w:rsidRDefault="00022F9B" w:rsidP="00494662">
            <w:pPr>
              <w:rPr>
                <w:rFonts w:ascii="Verdana" w:hAnsi="Verdana" w:cs="Calibri"/>
                <w:sz w:val="20"/>
                <w:lang w:val="nl-BE" w:eastAsia="nl-BE"/>
              </w:rPr>
            </w:pPr>
            <w:r w:rsidRPr="007943E3">
              <w:rPr>
                <w:rFonts w:ascii="Verdana" w:hAnsi="Verdana" w:cs="Calibri"/>
                <w:sz w:val="20"/>
                <w:lang w:val="nl-BE" w:eastAsia="nl-BE"/>
              </w:rPr>
              <w:t>Oost-Vlaanderen</w:t>
            </w:r>
          </w:p>
        </w:tc>
        <w:tc>
          <w:tcPr>
            <w:tcW w:w="960" w:type="dxa"/>
            <w:tcBorders>
              <w:top w:val="nil"/>
              <w:left w:val="nil"/>
              <w:bottom w:val="nil"/>
              <w:right w:val="nil"/>
            </w:tcBorders>
            <w:shd w:val="clear" w:color="auto" w:fill="auto"/>
            <w:noWrap/>
            <w:vAlign w:val="center"/>
            <w:hideMark/>
          </w:tcPr>
          <w:p w14:paraId="40BA5256"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920</w:t>
            </w:r>
          </w:p>
        </w:tc>
        <w:tc>
          <w:tcPr>
            <w:tcW w:w="960" w:type="dxa"/>
            <w:tcBorders>
              <w:top w:val="nil"/>
              <w:left w:val="single" w:sz="4" w:space="0" w:color="auto"/>
              <w:bottom w:val="nil"/>
              <w:right w:val="single" w:sz="4" w:space="0" w:color="auto"/>
            </w:tcBorders>
            <w:shd w:val="clear" w:color="auto" w:fill="auto"/>
            <w:noWrap/>
            <w:vAlign w:val="center"/>
            <w:hideMark/>
          </w:tcPr>
          <w:p w14:paraId="46F576F9"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635</w:t>
            </w:r>
          </w:p>
        </w:tc>
      </w:tr>
      <w:tr w:rsidR="00022F9B" w:rsidRPr="007943E3" w14:paraId="35413E90" w14:textId="77777777" w:rsidTr="00494662">
        <w:trPr>
          <w:trHeight w:val="312"/>
        </w:trPr>
        <w:tc>
          <w:tcPr>
            <w:tcW w:w="2260" w:type="dxa"/>
            <w:tcBorders>
              <w:top w:val="nil"/>
              <w:left w:val="single" w:sz="4" w:space="0" w:color="auto"/>
              <w:bottom w:val="nil"/>
              <w:right w:val="single" w:sz="4" w:space="0" w:color="auto"/>
            </w:tcBorders>
            <w:shd w:val="clear" w:color="auto" w:fill="auto"/>
            <w:vAlign w:val="center"/>
            <w:hideMark/>
          </w:tcPr>
          <w:p w14:paraId="65DE2EDE" w14:textId="77777777" w:rsidR="00022F9B" w:rsidRPr="007943E3" w:rsidRDefault="00022F9B" w:rsidP="00494662">
            <w:pPr>
              <w:rPr>
                <w:rFonts w:ascii="Verdana" w:hAnsi="Verdana" w:cs="Calibri"/>
                <w:sz w:val="20"/>
                <w:lang w:val="nl-BE" w:eastAsia="nl-BE"/>
              </w:rPr>
            </w:pPr>
            <w:r w:rsidRPr="007943E3">
              <w:rPr>
                <w:rFonts w:ascii="Verdana" w:hAnsi="Verdana" w:cs="Calibri"/>
                <w:sz w:val="20"/>
                <w:lang w:val="nl-BE" w:eastAsia="nl-BE"/>
              </w:rPr>
              <w:t>Limburg</w:t>
            </w:r>
          </w:p>
        </w:tc>
        <w:tc>
          <w:tcPr>
            <w:tcW w:w="960" w:type="dxa"/>
            <w:tcBorders>
              <w:top w:val="nil"/>
              <w:left w:val="nil"/>
              <w:bottom w:val="nil"/>
              <w:right w:val="nil"/>
            </w:tcBorders>
            <w:shd w:val="clear" w:color="auto" w:fill="auto"/>
            <w:noWrap/>
            <w:vAlign w:val="center"/>
            <w:hideMark/>
          </w:tcPr>
          <w:p w14:paraId="17B8EB6B"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439</w:t>
            </w:r>
          </w:p>
        </w:tc>
        <w:tc>
          <w:tcPr>
            <w:tcW w:w="960" w:type="dxa"/>
            <w:tcBorders>
              <w:top w:val="nil"/>
              <w:left w:val="single" w:sz="4" w:space="0" w:color="auto"/>
              <w:bottom w:val="nil"/>
              <w:right w:val="single" w:sz="4" w:space="0" w:color="auto"/>
            </w:tcBorders>
            <w:shd w:val="clear" w:color="auto" w:fill="auto"/>
            <w:noWrap/>
            <w:vAlign w:val="center"/>
            <w:hideMark/>
          </w:tcPr>
          <w:p w14:paraId="2C2C2983"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282</w:t>
            </w:r>
          </w:p>
        </w:tc>
      </w:tr>
      <w:tr w:rsidR="00022F9B" w:rsidRPr="007943E3" w14:paraId="494407B7" w14:textId="77777777" w:rsidTr="00494662">
        <w:trPr>
          <w:trHeight w:val="312"/>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E817" w14:textId="77777777" w:rsidR="00022F9B" w:rsidRPr="007943E3" w:rsidRDefault="00022F9B" w:rsidP="00494662">
            <w:pPr>
              <w:rPr>
                <w:rFonts w:ascii="Verdana" w:hAnsi="Verdana" w:cs="Calibri"/>
                <w:sz w:val="20"/>
                <w:lang w:val="nl-BE" w:eastAsia="nl-BE"/>
              </w:rPr>
            </w:pPr>
            <w:r w:rsidRPr="007943E3">
              <w:rPr>
                <w:rFonts w:ascii="Verdana" w:hAnsi="Verdana" w:cs="Calibri"/>
                <w:sz w:val="20"/>
                <w:lang w:val="nl-BE" w:eastAsia="nl-BE"/>
              </w:rPr>
              <w:t>Vlaanderen</w:t>
            </w:r>
          </w:p>
        </w:tc>
        <w:tc>
          <w:tcPr>
            <w:tcW w:w="960" w:type="dxa"/>
            <w:tcBorders>
              <w:top w:val="single" w:sz="4" w:space="0" w:color="auto"/>
              <w:left w:val="nil"/>
              <w:bottom w:val="single" w:sz="4" w:space="0" w:color="auto"/>
              <w:right w:val="nil"/>
            </w:tcBorders>
            <w:shd w:val="clear" w:color="auto" w:fill="auto"/>
            <w:noWrap/>
            <w:vAlign w:val="center"/>
            <w:hideMark/>
          </w:tcPr>
          <w:p w14:paraId="4E1982A9"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4</w:t>
            </w:r>
            <w:r>
              <w:rPr>
                <w:rFonts w:ascii="Verdana" w:hAnsi="Verdana" w:cs="Calibri"/>
                <w:sz w:val="20"/>
                <w:lang w:val="nl-BE" w:eastAsia="nl-BE"/>
              </w:rPr>
              <w:t>.</w:t>
            </w:r>
            <w:r w:rsidRPr="007943E3">
              <w:rPr>
                <w:rFonts w:ascii="Verdana" w:hAnsi="Verdana" w:cs="Calibri"/>
                <w:sz w:val="20"/>
                <w:lang w:val="nl-BE" w:eastAsia="nl-BE"/>
              </w:rPr>
              <w:t>720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7219" w14:textId="77777777" w:rsidR="00022F9B" w:rsidRPr="007943E3" w:rsidRDefault="00022F9B" w:rsidP="00494662">
            <w:pPr>
              <w:jc w:val="right"/>
              <w:rPr>
                <w:rFonts w:ascii="Verdana" w:hAnsi="Verdana" w:cs="Calibri"/>
                <w:sz w:val="20"/>
                <w:lang w:val="nl-BE" w:eastAsia="nl-BE"/>
              </w:rPr>
            </w:pPr>
            <w:r w:rsidRPr="007943E3">
              <w:rPr>
                <w:rFonts w:ascii="Verdana" w:hAnsi="Verdana" w:cs="Calibri"/>
                <w:sz w:val="20"/>
                <w:lang w:val="nl-BE" w:eastAsia="nl-BE"/>
              </w:rPr>
              <w:t>3</w:t>
            </w:r>
            <w:r>
              <w:rPr>
                <w:rFonts w:ascii="Verdana" w:hAnsi="Verdana" w:cs="Calibri"/>
                <w:sz w:val="20"/>
                <w:lang w:val="nl-BE" w:eastAsia="nl-BE"/>
              </w:rPr>
              <w:t>.</w:t>
            </w:r>
            <w:r w:rsidRPr="007943E3">
              <w:rPr>
                <w:rFonts w:ascii="Verdana" w:hAnsi="Verdana" w:cs="Calibri"/>
                <w:sz w:val="20"/>
                <w:lang w:val="nl-BE" w:eastAsia="nl-BE"/>
              </w:rPr>
              <w:t>490</w:t>
            </w:r>
          </w:p>
        </w:tc>
      </w:tr>
    </w:tbl>
    <w:p w14:paraId="51E8E121" w14:textId="77777777" w:rsidR="00022F9B" w:rsidRPr="007943E3" w:rsidRDefault="00022F9B" w:rsidP="00022F9B">
      <w:pPr>
        <w:pStyle w:val="StijlStandaardSVVerdana10ptCursiefLinks-175cm"/>
        <w:ind w:left="360"/>
        <w:jc w:val="left"/>
        <w:rPr>
          <w:rFonts w:eastAsia="Calibri"/>
          <w:iCs w:val="0"/>
          <w:lang w:val="nl-BE" w:eastAsia="en-US"/>
        </w:rPr>
      </w:pPr>
      <w:r w:rsidRPr="007943E3">
        <w:rPr>
          <w:rFonts w:eastAsia="Calibri"/>
          <w:iCs w:val="0"/>
          <w:lang w:val="nl-BE" w:eastAsia="en-US"/>
        </w:rPr>
        <w:t xml:space="preserve">Bron: </w:t>
      </w:r>
      <w:proofErr w:type="spellStart"/>
      <w:r w:rsidRPr="007943E3">
        <w:rPr>
          <w:rFonts w:eastAsia="Calibri"/>
          <w:iCs w:val="0"/>
          <w:lang w:val="nl-BE" w:eastAsia="en-US"/>
        </w:rPr>
        <w:t>Statbel</w:t>
      </w:r>
      <w:proofErr w:type="spellEnd"/>
      <w:r w:rsidRPr="007943E3">
        <w:rPr>
          <w:rFonts w:eastAsia="Calibri"/>
          <w:iCs w:val="0"/>
          <w:lang w:val="nl-BE" w:eastAsia="en-US"/>
        </w:rPr>
        <w:t xml:space="preserve"> (Algemene Directie Statistiek – </w:t>
      </w:r>
      <w:proofErr w:type="spellStart"/>
      <w:r w:rsidRPr="007943E3">
        <w:rPr>
          <w:rFonts w:eastAsia="Calibri"/>
          <w:iCs w:val="0"/>
          <w:lang w:val="nl-BE" w:eastAsia="en-US"/>
        </w:rPr>
        <w:t>Statistics</w:t>
      </w:r>
      <w:proofErr w:type="spellEnd"/>
      <w:r w:rsidRPr="007943E3">
        <w:rPr>
          <w:rFonts w:eastAsia="Calibri"/>
          <w:iCs w:val="0"/>
          <w:lang w:val="nl-BE" w:eastAsia="en-US"/>
        </w:rPr>
        <w:t xml:space="preserve"> Belgium)</w:t>
      </w:r>
    </w:p>
    <w:p w14:paraId="1D118086" w14:textId="77777777" w:rsidR="00664E68" w:rsidRPr="00022F9B" w:rsidRDefault="00664E68" w:rsidP="00022F9B">
      <w:pPr>
        <w:pStyle w:val="StijlStandaardSVVerdana10ptCursiefLinks-175cm"/>
        <w:rPr>
          <w:rFonts w:eastAsia="Calibri"/>
          <w:i w:val="0"/>
          <w:iCs w:val="0"/>
          <w:lang w:val="nl-BE" w:eastAsia="en-US"/>
        </w:rPr>
      </w:pPr>
    </w:p>
    <w:sectPr w:rsidR="00664E68" w:rsidRPr="00022F9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F53036D"/>
    <w:multiLevelType w:val="hybridMultilevel"/>
    <w:tmpl w:val="8E3CF7B8"/>
    <w:lvl w:ilvl="0" w:tplc="137CF9B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0323682"/>
    <w:multiLevelType w:val="multilevel"/>
    <w:tmpl w:val="E996B2FA"/>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76A72A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BB10849"/>
    <w:multiLevelType w:val="hybridMultilevel"/>
    <w:tmpl w:val="800A7A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9253A39"/>
    <w:multiLevelType w:val="hybridMultilevel"/>
    <w:tmpl w:val="800A7A8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7" w15:restartNumberingAfterBreak="0">
    <w:nsid w:val="6FD053A2"/>
    <w:multiLevelType w:val="hybridMultilevel"/>
    <w:tmpl w:val="0B925D34"/>
    <w:lvl w:ilvl="0" w:tplc="07F82D9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034035573">
    <w:abstractNumId w:val="9"/>
  </w:num>
  <w:num w:numId="2" w16cid:durableId="870995408">
    <w:abstractNumId w:val="6"/>
  </w:num>
  <w:num w:numId="3" w16cid:durableId="1139496059">
    <w:abstractNumId w:val="12"/>
  </w:num>
  <w:num w:numId="4" w16cid:durableId="812600055">
    <w:abstractNumId w:val="15"/>
  </w:num>
  <w:num w:numId="5" w16cid:durableId="893200695">
    <w:abstractNumId w:val="14"/>
  </w:num>
  <w:num w:numId="6" w16cid:durableId="1917664240">
    <w:abstractNumId w:val="1"/>
  </w:num>
  <w:num w:numId="7" w16cid:durableId="117454866">
    <w:abstractNumId w:val="5"/>
  </w:num>
  <w:num w:numId="8" w16cid:durableId="2027637012">
    <w:abstractNumId w:val="8"/>
  </w:num>
  <w:num w:numId="9" w16cid:durableId="1613631173">
    <w:abstractNumId w:val="18"/>
  </w:num>
  <w:num w:numId="10" w16cid:durableId="2104719129">
    <w:abstractNumId w:val="4"/>
  </w:num>
  <w:num w:numId="11" w16cid:durableId="1905484605">
    <w:abstractNumId w:val="0"/>
  </w:num>
  <w:num w:numId="12" w16cid:durableId="2114011212">
    <w:abstractNumId w:val="3"/>
  </w:num>
  <w:num w:numId="13" w16cid:durableId="1143500737">
    <w:abstractNumId w:val="13"/>
  </w:num>
  <w:num w:numId="14" w16cid:durableId="1282111231">
    <w:abstractNumId w:val="10"/>
  </w:num>
  <w:num w:numId="15" w16cid:durableId="1042439877">
    <w:abstractNumId w:val="7"/>
  </w:num>
  <w:num w:numId="16" w16cid:durableId="1577977628">
    <w:abstractNumId w:val="16"/>
  </w:num>
  <w:num w:numId="17" w16cid:durableId="1402217948">
    <w:abstractNumId w:val="17"/>
  </w:num>
  <w:num w:numId="18" w16cid:durableId="37946707">
    <w:abstractNumId w:val="11"/>
  </w:num>
  <w:num w:numId="19" w16cid:durableId="10809049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640B"/>
    <w:rsid w:val="00017798"/>
    <w:rsid w:val="000217BC"/>
    <w:rsid w:val="00022F9B"/>
    <w:rsid w:val="00055182"/>
    <w:rsid w:val="00064DC3"/>
    <w:rsid w:val="0006530E"/>
    <w:rsid w:val="00067E81"/>
    <w:rsid w:val="00086CB6"/>
    <w:rsid w:val="000A2CA5"/>
    <w:rsid w:val="000A41AA"/>
    <w:rsid w:val="000A4FF4"/>
    <w:rsid w:val="000A7F61"/>
    <w:rsid w:val="000B7E0E"/>
    <w:rsid w:val="000C271D"/>
    <w:rsid w:val="000C426D"/>
    <w:rsid w:val="000C5A85"/>
    <w:rsid w:val="000E7DDA"/>
    <w:rsid w:val="000F58B3"/>
    <w:rsid w:val="001077A6"/>
    <w:rsid w:val="00126819"/>
    <w:rsid w:val="00132A27"/>
    <w:rsid w:val="00137474"/>
    <w:rsid w:val="00142FE3"/>
    <w:rsid w:val="001430FD"/>
    <w:rsid w:val="001462F9"/>
    <w:rsid w:val="0015257A"/>
    <w:rsid w:val="001541F5"/>
    <w:rsid w:val="00155340"/>
    <w:rsid w:val="001607C9"/>
    <w:rsid w:val="00171223"/>
    <w:rsid w:val="00173D06"/>
    <w:rsid w:val="00173E62"/>
    <w:rsid w:val="00190ED7"/>
    <w:rsid w:val="00193714"/>
    <w:rsid w:val="00195865"/>
    <w:rsid w:val="001A2D80"/>
    <w:rsid w:val="001A3225"/>
    <w:rsid w:val="001B0917"/>
    <w:rsid w:val="001B2F27"/>
    <w:rsid w:val="001B5919"/>
    <w:rsid w:val="001B70FB"/>
    <w:rsid w:val="001C2638"/>
    <w:rsid w:val="001C5098"/>
    <w:rsid w:val="001C6F2D"/>
    <w:rsid w:val="001C7298"/>
    <w:rsid w:val="001E2F24"/>
    <w:rsid w:val="001F238C"/>
    <w:rsid w:val="001F341C"/>
    <w:rsid w:val="00203A6C"/>
    <w:rsid w:val="00203EA5"/>
    <w:rsid w:val="00210519"/>
    <w:rsid w:val="002172BD"/>
    <w:rsid w:val="0022435E"/>
    <w:rsid w:val="002302FF"/>
    <w:rsid w:val="00232AFA"/>
    <w:rsid w:val="00236C91"/>
    <w:rsid w:val="00245434"/>
    <w:rsid w:val="00251506"/>
    <w:rsid w:val="0025419B"/>
    <w:rsid w:val="00261542"/>
    <w:rsid w:val="0026345F"/>
    <w:rsid w:val="00270462"/>
    <w:rsid w:val="002705AB"/>
    <w:rsid w:val="002969D9"/>
    <w:rsid w:val="00296BA2"/>
    <w:rsid w:val="00296F4E"/>
    <w:rsid w:val="002B2D13"/>
    <w:rsid w:val="002B5355"/>
    <w:rsid w:val="002E7343"/>
    <w:rsid w:val="002E7735"/>
    <w:rsid w:val="002F3C4D"/>
    <w:rsid w:val="002F481B"/>
    <w:rsid w:val="002F4FD8"/>
    <w:rsid w:val="003000B9"/>
    <w:rsid w:val="00300F78"/>
    <w:rsid w:val="00303A50"/>
    <w:rsid w:val="0030658E"/>
    <w:rsid w:val="00315CE0"/>
    <w:rsid w:val="003171DC"/>
    <w:rsid w:val="0032059F"/>
    <w:rsid w:val="00323E4E"/>
    <w:rsid w:val="00334F2C"/>
    <w:rsid w:val="00335752"/>
    <w:rsid w:val="003363D2"/>
    <w:rsid w:val="003417C0"/>
    <w:rsid w:val="0034556E"/>
    <w:rsid w:val="00345921"/>
    <w:rsid w:val="00351EEA"/>
    <w:rsid w:val="00354F2D"/>
    <w:rsid w:val="00356AF9"/>
    <w:rsid w:val="00360919"/>
    <w:rsid w:val="00373580"/>
    <w:rsid w:val="00382E32"/>
    <w:rsid w:val="003A616B"/>
    <w:rsid w:val="003B5D49"/>
    <w:rsid w:val="003B778C"/>
    <w:rsid w:val="003C7029"/>
    <w:rsid w:val="003C7869"/>
    <w:rsid w:val="003D1428"/>
    <w:rsid w:val="003D247A"/>
    <w:rsid w:val="003E3B0F"/>
    <w:rsid w:val="003E789E"/>
    <w:rsid w:val="003F30D5"/>
    <w:rsid w:val="004136CA"/>
    <w:rsid w:val="004144AB"/>
    <w:rsid w:val="00415591"/>
    <w:rsid w:val="00415F20"/>
    <w:rsid w:val="00420EB4"/>
    <w:rsid w:val="00421C5D"/>
    <w:rsid w:val="00444E52"/>
    <w:rsid w:val="00444F08"/>
    <w:rsid w:val="00450A68"/>
    <w:rsid w:val="00455A52"/>
    <w:rsid w:val="004667A6"/>
    <w:rsid w:val="00466B6A"/>
    <w:rsid w:val="00481CC5"/>
    <w:rsid w:val="0048543D"/>
    <w:rsid w:val="004918DC"/>
    <w:rsid w:val="00493E68"/>
    <w:rsid w:val="004A1727"/>
    <w:rsid w:val="004B49A0"/>
    <w:rsid w:val="004C2D7D"/>
    <w:rsid w:val="004E2591"/>
    <w:rsid w:val="004E5168"/>
    <w:rsid w:val="004F1BAD"/>
    <w:rsid w:val="004F421F"/>
    <w:rsid w:val="00500262"/>
    <w:rsid w:val="00505F00"/>
    <w:rsid w:val="00513DDB"/>
    <w:rsid w:val="00520411"/>
    <w:rsid w:val="0052343E"/>
    <w:rsid w:val="005254BA"/>
    <w:rsid w:val="00525B38"/>
    <w:rsid w:val="0052701D"/>
    <w:rsid w:val="0053058E"/>
    <w:rsid w:val="00536592"/>
    <w:rsid w:val="005473E5"/>
    <w:rsid w:val="00556413"/>
    <w:rsid w:val="005625B1"/>
    <w:rsid w:val="0057443C"/>
    <w:rsid w:val="00580690"/>
    <w:rsid w:val="00585F4D"/>
    <w:rsid w:val="0059262F"/>
    <w:rsid w:val="0059595C"/>
    <w:rsid w:val="005A32C0"/>
    <w:rsid w:val="005A3642"/>
    <w:rsid w:val="005A5551"/>
    <w:rsid w:val="005A7B98"/>
    <w:rsid w:val="005B6E3A"/>
    <w:rsid w:val="005B74CC"/>
    <w:rsid w:val="005C18E6"/>
    <w:rsid w:val="005C4B62"/>
    <w:rsid w:val="005D59AB"/>
    <w:rsid w:val="005D7E5C"/>
    <w:rsid w:val="005E0043"/>
    <w:rsid w:val="005E574E"/>
    <w:rsid w:val="005E63C8"/>
    <w:rsid w:val="005F397D"/>
    <w:rsid w:val="005F48AB"/>
    <w:rsid w:val="005F65B3"/>
    <w:rsid w:val="00601E07"/>
    <w:rsid w:val="0060314D"/>
    <w:rsid w:val="0061048E"/>
    <w:rsid w:val="00617203"/>
    <w:rsid w:val="0062203A"/>
    <w:rsid w:val="0062290B"/>
    <w:rsid w:val="00631A06"/>
    <w:rsid w:val="00642B3B"/>
    <w:rsid w:val="00650147"/>
    <w:rsid w:val="0065322B"/>
    <w:rsid w:val="00653384"/>
    <w:rsid w:val="006551E9"/>
    <w:rsid w:val="0065583D"/>
    <w:rsid w:val="00664D91"/>
    <w:rsid w:val="00664E68"/>
    <w:rsid w:val="00672066"/>
    <w:rsid w:val="006944FC"/>
    <w:rsid w:val="006A64BE"/>
    <w:rsid w:val="006A7830"/>
    <w:rsid w:val="006B3449"/>
    <w:rsid w:val="006B3EAC"/>
    <w:rsid w:val="006B6FC7"/>
    <w:rsid w:val="006C7856"/>
    <w:rsid w:val="006D2F42"/>
    <w:rsid w:val="006D721E"/>
    <w:rsid w:val="006E0CA7"/>
    <w:rsid w:val="006E1314"/>
    <w:rsid w:val="006F1471"/>
    <w:rsid w:val="0070574F"/>
    <w:rsid w:val="00706136"/>
    <w:rsid w:val="00722346"/>
    <w:rsid w:val="00737099"/>
    <w:rsid w:val="00742347"/>
    <w:rsid w:val="00742AC7"/>
    <w:rsid w:val="007467E6"/>
    <w:rsid w:val="00750419"/>
    <w:rsid w:val="00753A24"/>
    <w:rsid w:val="0076343C"/>
    <w:rsid w:val="0076411C"/>
    <w:rsid w:val="00770CA6"/>
    <w:rsid w:val="00770F8D"/>
    <w:rsid w:val="0077229C"/>
    <w:rsid w:val="00781C03"/>
    <w:rsid w:val="00781D5A"/>
    <w:rsid w:val="00783A05"/>
    <w:rsid w:val="00785271"/>
    <w:rsid w:val="00787FA6"/>
    <w:rsid w:val="007A12E7"/>
    <w:rsid w:val="007A4E80"/>
    <w:rsid w:val="007B0657"/>
    <w:rsid w:val="007B2432"/>
    <w:rsid w:val="007B3CDF"/>
    <w:rsid w:val="007C06AA"/>
    <w:rsid w:val="007C0766"/>
    <w:rsid w:val="007C1D7E"/>
    <w:rsid w:val="007E5C02"/>
    <w:rsid w:val="007E719C"/>
    <w:rsid w:val="007F0717"/>
    <w:rsid w:val="007F0EA5"/>
    <w:rsid w:val="00800B4F"/>
    <w:rsid w:val="00802C3C"/>
    <w:rsid w:val="00807360"/>
    <w:rsid w:val="00817B5E"/>
    <w:rsid w:val="00823C0B"/>
    <w:rsid w:val="00851969"/>
    <w:rsid w:val="00856CFB"/>
    <w:rsid w:val="008605BB"/>
    <w:rsid w:val="00861715"/>
    <w:rsid w:val="00874E48"/>
    <w:rsid w:val="00886BE2"/>
    <w:rsid w:val="00893267"/>
    <w:rsid w:val="008A4305"/>
    <w:rsid w:val="008B6AB1"/>
    <w:rsid w:val="008D1FB4"/>
    <w:rsid w:val="008E035C"/>
    <w:rsid w:val="008E3424"/>
    <w:rsid w:val="008E34F2"/>
    <w:rsid w:val="008E6544"/>
    <w:rsid w:val="008E7338"/>
    <w:rsid w:val="008F4C75"/>
    <w:rsid w:val="009033A6"/>
    <w:rsid w:val="00904CD5"/>
    <w:rsid w:val="00904E57"/>
    <w:rsid w:val="0091018A"/>
    <w:rsid w:val="00924896"/>
    <w:rsid w:val="00924B25"/>
    <w:rsid w:val="009338BE"/>
    <w:rsid w:val="00944E9B"/>
    <w:rsid w:val="00957355"/>
    <w:rsid w:val="00967BF3"/>
    <w:rsid w:val="0097232B"/>
    <w:rsid w:val="00977B99"/>
    <w:rsid w:val="00983481"/>
    <w:rsid w:val="00983A4E"/>
    <w:rsid w:val="0099053D"/>
    <w:rsid w:val="009955FA"/>
    <w:rsid w:val="00997280"/>
    <w:rsid w:val="00997301"/>
    <w:rsid w:val="009A0065"/>
    <w:rsid w:val="009A280C"/>
    <w:rsid w:val="009A4D08"/>
    <w:rsid w:val="009A78F7"/>
    <w:rsid w:val="009B2521"/>
    <w:rsid w:val="009B356A"/>
    <w:rsid w:val="009B58FE"/>
    <w:rsid w:val="009D5552"/>
    <w:rsid w:val="009E19B6"/>
    <w:rsid w:val="009E76C9"/>
    <w:rsid w:val="009F4ECF"/>
    <w:rsid w:val="00A0011F"/>
    <w:rsid w:val="00A00A1E"/>
    <w:rsid w:val="00A02C90"/>
    <w:rsid w:val="00A06525"/>
    <w:rsid w:val="00A20984"/>
    <w:rsid w:val="00A21DB2"/>
    <w:rsid w:val="00A2239E"/>
    <w:rsid w:val="00A22C2A"/>
    <w:rsid w:val="00A24827"/>
    <w:rsid w:val="00A24E12"/>
    <w:rsid w:val="00A27A61"/>
    <w:rsid w:val="00A31093"/>
    <w:rsid w:val="00A32653"/>
    <w:rsid w:val="00A37B6F"/>
    <w:rsid w:val="00A4399E"/>
    <w:rsid w:val="00A44174"/>
    <w:rsid w:val="00A54CBB"/>
    <w:rsid w:val="00A6046C"/>
    <w:rsid w:val="00A60B41"/>
    <w:rsid w:val="00A72674"/>
    <w:rsid w:val="00A7329F"/>
    <w:rsid w:val="00A7331E"/>
    <w:rsid w:val="00A81450"/>
    <w:rsid w:val="00A92D6D"/>
    <w:rsid w:val="00AA0AA2"/>
    <w:rsid w:val="00AA260F"/>
    <w:rsid w:val="00AA2C3F"/>
    <w:rsid w:val="00AA41C8"/>
    <w:rsid w:val="00AA6DA3"/>
    <w:rsid w:val="00AD1932"/>
    <w:rsid w:val="00AD2EB2"/>
    <w:rsid w:val="00AD30E3"/>
    <w:rsid w:val="00AD3DA8"/>
    <w:rsid w:val="00AF41AE"/>
    <w:rsid w:val="00AF47E5"/>
    <w:rsid w:val="00AF5F1A"/>
    <w:rsid w:val="00B047B0"/>
    <w:rsid w:val="00B051CF"/>
    <w:rsid w:val="00B100FB"/>
    <w:rsid w:val="00B10296"/>
    <w:rsid w:val="00B11BB1"/>
    <w:rsid w:val="00B13FC4"/>
    <w:rsid w:val="00B14B87"/>
    <w:rsid w:val="00B17644"/>
    <w:rsid w:val="00B2190F"/>
    <w:rsid w:val="00B23CE7"/>
    <w:rsid w:val="00B279B8"/>
    <w:rsid w:val="00B27DA0"/>
    <w:rsid w:val="00B31818"/>
    <w:rsid w:val="00B35491"/>
    <w:rsid w:val="00B428BF"/>
    <w:rsid w:val="00B44498"/>
    <w:rsid w:val="00B5153E"/>
    <w:rsid w:val="00B60B11"/>
    <w:rsid w:val="00B623F1"/>
    <w:rsid w:val="00B646EE"/>
    <w:rsid w:val="00B80A96"/>
    <w:rsid w:val="00B9022E"/>
    <w:rsid w:val="00B9202C"/>
    <w:rsid w:val="00BA0247"/>
    <w:rsid w:val="00BA2445"/>
    <w:rsid w:val="00BC455F"/>
    <w:rsid w:val="00BC7D42"/>
    <w:rsid w:val="00BD4970"/>
    <w:rsid w:val="00BE1880"/>
    <w:rsid w:val="00BE3E49"/>
    <w:rsid w:val="00BE6EF1"/>
    <w:rsid w:val="00BF2776"/>
    <w:rsid w:val="00C14DBD"/>
    <w:rsid w:val="00C15D45"/>
    <w:rsid w:val="00C166F4"/>
    <w:rsid w:val="00C16FCD"/>
    <w:rsid w:val="00C209A4"/>
    <w:rsid w:val="00C21DC0"/>
    <w:rsid w:val="00C26603"/>
    <w:rsid w:val="00C315A3"/>
    <w:rsid w:val="00C31ABE"/>
    <w:rsid w:val="00C36CA6"/>
    <w:rsid w:val="00C6214E"/>
    <w:rsid w:val="00C62702"/>
    <w:rsid w:val="00C66541"/>
    <w:rsid w:val="00C67696"/>
    <w:rsid w:val="00C72433"/>
    <w:rsid w:val="00C84CD7"/>
    <w:rsid w:val="00C931CA"/>
    <w:rsid w:val="00CA2891"/>
    <w:rsid w:val="00CB588C"/>
    <w:rsid w:val="00CB7131"/>
    <w:rsid w:val="00CB730D"/>
    <w:rsid w:val="00CC2ED6"/>
    <w:rsid w:val="00CC4134"/>
    <w:rsid w:val="00CD04A2"/>
    <w:rsid w:val="00CD2AB2"/>
    <w:rsid w:val="00CD3DE3"/>
    <w:rsid w:val="00CD6356"/>
    <w:rsid w:val="00CE70F0"/>
    <w:rsid w:val="00D03BA2"/>
    <w:rsid w:val="00D06CA2"/>
    <w:rsid w:val="00D135A1"/>
    <w:rsid w:val="00D14BFA"/>
    <w:rsid w:val="00D27687"/>
    <w:rsid w:val="00D27BB2"/>
    <w:rsid w:val="00D32CB3"/>
    <w:rsid w:val="00D37660"/>
    <w:rsid w:val="00D43766"/>
    <w:rsid w:val="00D44E0F"/>
    <w:rsid w:val="00D472B3"/>
    <w:rsid w:val="00D51130"/>
    <w:rsid w:val="00D53664"/>
    <w:rsid w:val="00D672C3"/>
    <w:rsid w:val="00D80A6F"/>
    <w:rsid w:val="00D92C8A"/>
    <w:rsid w:val="00D94C22"/>
    <w:rsid w:val="00DA72CF"/>
    <w:rsid w:val="00DB482A"/>
    <w:rsid w:val="00DB5968"/>
    <w:rsid w:val="00DB673E"/>
    <w:rsid w:val="00DC0D5E"/>
    <w:rsid w:val="00DC3C37"/>
    <w:rsid w:val="00DC5DD1"/>
    <w:rsid w:val="00DC714F"/>
    <w:rsid w:val="00DD50FC"/>
    <w:rsid w:val="00DD5367"/>
    <w:rsid w:val="00DD76B0"/>
    <w:rsid w:val="00DE0C24"/>
    <w:rsid w:val="00DE1730"/>
    <w:rsid w:val="00DE2648"/>
    <w:rsid w:val="00DE624A"/>
    <w:rsid w:val="00E02696"/>
    <w:rsid w:val="00E052E9"/>
    <w:rsid w:val="00E06C91"/>
    <w:rsid w:val="00E07373"/>
    <w:rsid w:val="00E14FDA"/>
    <w:rsid w:val="00E21FDB"/>
    <w:rsid w:val="00E242E1"/>
    <w:rsid w:val="00E27486"/>
    <w:rsid w:val="00E45697"/>
    <w:rsid w:val="00E539B5"/>
    <w:rsid w:val="00E579B7"/>
    <w:rsid w:val="00E679B2"/>
    <w:rsid w:val="00E73FFE"/>
    <w:rsid w:val="00E860D9"/>
    <w:rsid w:val="00E90ED6"/>
    <w:rsid w:val="00E93B96"/>
    <w:rsid w:val="00E94B80"/>
    <w:rsid w:val="00E96748"/>
    <w:rsid w:val="00EA0ACD"/>
    <w:rsid w:val="00EA0CB5"/>
    <w:rsid w:val="00EA1DF1"/>
    <w:rsid w:val="00EA7F5B"/>
    <w:rsid w:val="00EB15AC"/>
    <w:rsid w:val="00EB398A"/>
    <w:rsid w:val="00EB53E2"/>
    <w:rsid w:val="00EC5F7D"/>
    <w:rsid w:val="00ED14C4"/>
    <w:rsid w:val="00ED3021"/>
    <w:rsid w:val="00ED6909"/>
    <w:rsid w:val="00EE2FB2"/>
    <w:rsid w:val="00EE3D28"/>
    <w:rsid w:val="00EF5548"/>
    <w:rsid w:val="00EF7B88"/>
    <w:rsid w:val="00F04307"/>
    <w:rsid w:val="00F07FE9"/>
    <w:rsid w:val="00F13DCB"/>
    <w:rsid w:val="00F1544B"/>
    <w:rsid w:val="00F1689C"/>
    <w:rsid w:val="00F21D12"/>
    <w:rsid w:val="00F30ECA"/>
    <w:rsid w:val="00F43152"/>
    <w:rsid w:val="00F4647D"/>
    <w:rsid w:val="00F46CBF"/>
    <w:rsid w:val="00F47E7C"/>
    <w:rsid w:val="00F515B1"/>
    <w:rsid w:val="00F515F5"/>
    <w:rsid w:val="00F54A8D"/>
    <w:rsid w:val="00F6129D"/>
    <w:rsid w:val="00F612DA"/>
    <w:rsid w:val="00F70FC6"/>
    <w:rsid w:val="00F7174B"/>
    <w:rsid w:val="00F9535B"/>
    <w:rsid w:val="00FA037A"/>
    <w:rsid w:val="00FA32CF"/>
    <w:rsid w:val="00FA5CAE"/>
    <w:rsid w:val="00FB041A"/>
    <w:rsid w:val="00FB6C08"/>
    <w:rsid w:val="00FC0F73"/>
    <w:rsid w:val="00FC3157"/>
    <w:rsid w:val="00FD423B"/>
    <w:rsid w:val="00FD7018"/>
    <w:rsid w:val="00FE0927"/>
    <w:rsid w:val="00FF19C8"/>
    <w:rsid w:val="25F2F979"/>
    <w:rsid w:val="4C0F4E5D"/>
    <w:rsid w:val="694FAA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character" w:styleId="Verwijzingopmerking">
    <w:name w:val="annotation reference"/>
    <w:basedOn w:val="Standaardalinea-lettertype"/>
    <w:uiPriority w:val="99"/>
    <w:semiHidden/>
    <w:unhideWhenUsed/>
    <w:rsid w:val="006A7830"/>
    <w:rPr>
      <w:sz w:val="16"/>
      <w:szCs w:val="16"/>
    </w:rPr>
  </w:style>
  <w:style w:type="paragraph" w:styleId="Tekstopmerking">
    <w:name w:val="annotation text"/>
    <w:basedOn w:val="Standaard"/>
    <w:link w:val="TekstopmerkingChar"/>
    <w:uiPriority w:val="99"/>
    <w:unhideWhenUsed/>
    <w:rsid w:val="006A7830"/>
    <w:rPr>
      <w:sz w:val="20"/>
    </w:rPr>
  </w:style>
  <w:style w:type="character" w:customStyle="1" w:styleId="TekstopmerkingChar">
    <w:name w:val="Tekst opmerking Char"/>
    <w:basedOn w:val="Standaardalinea-lettertype"/>
    <w:link w:val="Tekstopmerking"/>
    <w:uiPriority w:val="99"/>
    <w:rsid w:val="006A783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A7830"/>
    <w:rPr>
      <w:b/>
      <w:bCs/>
    </w:rPr>
  </w:style>
  <w:style w:type="character" w:customStyle="1" w:styleId="OnderwerpvanopmerkingChar">
    <w:name w:val="Onderwerp van opmerking Char"/>
    <w:basedOn w:val="TekstopmerkingChar"/>
    <w:link w:val="Onderwerpvanopmerking"/>
    <w:uiPriority w:val="99"/>
    <w:semiHidden/>
    <w:rsid w:val="006A7830"/>
    <w:rPr>
      <w:rFonts w:ascii="Times New Roman" w:eastAsia="Times New Roman" w:hAnsi="Times New Roman" w:cs="Times New Roman"/>
      <w:b/>
      <w:bCs/>
      <w:sz w:val="20"/>
      <w:szCs w:val="20"/>
      <w:lang w:val="nl-NL" w:eastAsia="nl-NL"/>
    </w:rPr>
  </w:style>
  <w:style w:type="table" w:styleId="Tabelrasterlicht">
    <w:name w:val="Grid Table Light"/>
    <w:basedOn w:val="Standaardtabel"/>
    <w:uiPriority w:val="40"/>
    <w:rsid w:val="002515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mering">
    <w:name w:val="Nummering"/>
    <w:basedOn w:val="Lijstalinea"/>
    <w:link w:val="NummeringChar"/>
    <w:qFormat/>
    <w:rsid w:val="00856CFB"/>
    <w:pPr>
      <w:numPr>
        <w:numId w:val="15"/>
      </w:numPr>
      <w:spacing w:after="120"/>
      <w:contextualSpacing w:val="0"/>
      <w:jc w:val="both"/>
    </w:pPr>
    <w:rPr>
      <w:rFonts w:ascii="Verdana" w:hAnsi="Verdana"/>
      <w:sz w:val="20"/>
      <w:szCs w:val="24"/>
      <w:lang w:val="en-US"/>
    </w:rPr>
  </w:style>
  <w:style w:type="character" w:customStyle="1" w:styleId="NummeringChar">
    <w:name w:val="Nummering Char"/>
    <w:link w:val="Nummering"/>
    <w:rsid w:val="00856CFB"/>
    <w:rPr>
      <w:rFonts w:ascii="Verdana" w:eastAsia="Times New Roman" w:hAnsi="Verdana" w:cs="Times New Roman"/>
      <w:sz w:val="20"/>
      <w:szCs w:val="24"/>
      <w:lang w:val="en-US" w:eastAsia="nl-NL"/>
    </w:rPr>
  </w:style>
  <w:style w:type="paragraph" w:styleId="Revisie">
    <w:name w:val="Revision"/>
    <w:hidden/>
    <w:uiPriority w:val="99"/>
    <w:semiHidden/>
    <w:rsid w:val="002705AB"/>
    <w:pPr>
      <w:spacing w:after="0" w:line="240" w:lineRule="auto"/>
    </w:pPr>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830370216">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20780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6" ma:contentTypeDescription="Een nieuw document maken." ma:contentTypeScope="" ma:versionID="26f4799045017d3473043f8a1a9a6e43">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47205424b2221789c4de2a386141fde4"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dbe7fa-16ce-4dd0-bd7f-758202c9b29a">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2.xml><?xml version="1.0" encoding="utf-8"?>
<ds:datastoreItem xmlns:ds="http://schemas.openxmlformats.org/officeDocument/2006/customXml" ds:itemID="{DD0FB4FA-E092-42E0-A140-BF4D8C2088C6}">
  <ds:schemaRefs>
    <ds:schemaRef ds:uri="http://schemas.openxmlformats.org/officeDocument/2006/bibliography"/>
  </ds:schemaRefs>
</ds:datastoreItem>
</file>

<file path=customXml/itemProps3.xml><?xml version="1.0" encoding="utf-8"?>
<ds:datastoreItem xmlns:ds="http://schemas.openxmlformats.org/officeDocument/2006/customXml" ds:itemID="{7425B45A-B18E-4D6F-A5DF-15D8F413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 ds:uri="22dbe7fa-16ce-4dd0-bd7f-758202c9b29a"/>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5574</Characters>
  <Application>Microsoft Office Word</Application>
  <DocSecurity>0</DocSecurity>
  <Lines>46</Lines>
  <Paragraphs>13</Paragraphs>
  <ScaleCrop>false</ScaleCrop>
  <Company>Vlaams Parlement</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Sil Van Langendonck</cp:lastModifiedBy>
  <cp:revision>4</cp:revision>
  <cp:lastPrinted>2014-08-28T11:14:00Z</cp:lastPrinted>
  <dcterms:created xsi:type="dcterms:W3CDTF">2023-02-15T12:44:00Z</dcterms:created>
  <dcterms:modified xsi:type="dcterms:W3CDTF">2023-02-28T08:28:00Z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0x0101001277A7FFAE7F4C4884BBA2351F1B13A3</vt:lpwstr>
  </property>
  <property fmtid="{D5CDD505-2E9C-101B-9397-08002B2CF9AE}" pid="3" name="_dlc_DocIdItemGuid">
    <vt:lpwstr>28a4c0b1-4e4b-44b7-aaea-8fcf27080eb2</vt:lpwstr>
  </property>
  <property fmtid="{D5CDD505-2E9C-101B-9397-08002B2CF9AE}" pid="4" name="_docset_NoMedatataSyncRequired">
    <vt:lpwstr>False</vt:lpwstr>
  </property>
  <property fmtid="{D5CDD505-2E9C-101B-9397-08002B2CF9AE}" pid="5" name="MediaServiceImageTags">
    <vt:lpwstr/>
  </property>
</Properties>
</file>