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6"/>
        <w:gridCol w:w="7746"/>
      </w:tblGrid>
      <w:tr w:rsidR="008C6D56" w:rsidRPr="001536EF" w14:paraId="489E4625" w14:textId="77777777" w:rsidTr="008C6D56">
        <w:tc>
          <w:tcPr>
            <w:tcW w:w="1271" w:type="dxa"/>
          </w:tcPr>
          <w:p w14:paraId="72744D97" w14:textId="77777777" w:rsidR="008C6D56" w:rsidRPr="00126D1E" w:rsidRDefault="008C6D56" w:rsidP="008C6D5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fr-BE"/>
              </w:rPr>
            </w:pPr>
            <w:r w:rsidRPr="00126D1E">
              <w:rPr>
                <w:rFonts w:ascii="Arial" w:hAnsi="Arial" w:cs="Arial"/>
                <w:noProof/>
                <w:sz w:val="18"/>
                <w:szCs w:val="18"/>
                <w:lang w:val="fr-BE" w:eastAsia="fr-BE"/>
              </w:rPr>
              <w:drawing>
                <wp:inline distT="0" distB="0" distL="0" distR="0" wp14:anchorId="32C722E7" wp14:editId="1C92CED6">
                  <wp:extent cx="695325" cy="685800"/>
                  <wp:effectExtent l="0" t="0" r="9525" b="0"/>
                  <wp:docPr id="1" name="Picture 1" descr="schild F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hild F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1" w:type="dxa"/>
          </w:tcPr>
          <w:p w14:paraId="72D184C6" w14:textId="77777777" w:rsidR="008C6D56" w:rsidRPr="00635A0C" w:rsidRDefault="008C6D56" w:rsidP="00E95A1E">
            <w:pPr>
              <w:jc w:val="both"/>
              <w:rPr>
                <w:rFonts w:ascii="Arial (W1)" w:hAnsi="Arial (W1)" w:cs="Arial"/>
                <w:smallCaps/>
                <w:sz w:val="18"/>
                <w:szCs w:val="18"/>
                <w:lang w:val="nl-NL" w:eastAsia="nl-NL"/>
              </w:rPr>
            </w:pPr>
            <w:r w:rsidRPr="00635A0C">
              <w:rPr>
                <w:rFonts w:ascii="Arial (W1)" w:hAnsi="Arial (W1)" w:cs="Arial"/>
                <w:smallCaps/>
                <w:sz w:val="18"/>
                <w:szCs w:val="18"/>
                <w:lang w:val="nl-NL" w:eastAsia="nl-NL"/>
              </w:rPr>
              <w:t>DE MINISTER VAN BINNENLANDSE ZAKEN, INSTITUTIONELE HERVORMINGEN EN DEMOCRATISCHE VERNIEUWING</w:t>
            </w:r>
          </w:p>
          <w:p w14:paraId="6ADFA7EC" w14:textId="77777777" w:rsidR="008C6D56" w:rsidRPr="00635A0C" w:rsidRDefault="008C6D56" w:rsidP="00E95A1E">
            <w:pPr>
              <w:jc w:val="both"/>
              <w:rPr>
                <w:rFonts w:ascii="Arial (W1)" w:hAnsi="Arial (W1)" w:cs="Arial"/>
                <w:smallCaps/>
                <w:sz w:val="18"/>
                <w:szCs w:val="18"/>
                <w:lang w:val="nl-NL" w:eastAsia="nl-NL"/>
              </w:rPr>
            </w:pPr>
          </w:p>
          <w:p w14:paraId="2139FCA7" w14:textId="77777777" w:rsidR="008C6D56" w:rsidRPr="00126D1E" w:rsidRDefault="008C6D56" w:rsidP="00E95A1E">
            <w:pPr>
              <w:jc w:val="both"/>
              <w:rPr>
                <w:rFonts w:ascii="Arial (W1)" w:hAnsi="Arial (W1)" w:cs="Arial"/>
                <w:smallCaps/>
                <w:sz w:val="18"/>
                <w:szCs w:val="18"/>
                <w:lang w:val="fr-BE" w:eastAsia="nl-NL"/>
              </w:rPr>
            </w:pPr>
            <w:r w:rsidRPr="00126D1E">
              <w:rPr>
                <w:rFonts w:ascii="Arial (W1)" w:hAnsi="Arial (W1)" w:cs="Arial"/>
                <w:smallCaps/>
                <w:sz w:val="18"/>
                <w:szCs w:val="18"/>
                <w:lang w:val="fr-BE" w:eastAsia="nl-NL"/>
              </w:rPr>
              <w:t xml:space="preserve">LA MINISTRE DE L’INTERIEUR, DES REFORMES INSTITUTIONNELLES ET DU RENOUVEAU DEMOCRATIQUE </w:t>
            </w:r>
          </w:p>
        </w:tc>
      </w:tr>
    </w:tbl>
    <w:p w14:paraId="7AF5CB1C" w14:textId="77777777" w:rsidR="004428EC" w:rsidRPr="00126D1E" w:rsidRDefault="004428EC" w:rsidP="008C6D56">
      <w:pPr>
        <w:spacing w:line="276" w:lineRule="auto"/>
        <w:rPr>
          <w:rFonts w:ascii="Arial" w:hAnsi="Arial" w:cs="Arial"/>
          <w:b/>
          <w:sz w:val="22"/>
          <w:szCs w:val="22"/>
          <w:lang w:val="fr-BE"/>
        </w:rPr>
      </w:pPr>
    </w:p>
    <w:p w14:paraId="427DF0ED" w14:textId="49EDD056" w:rsidR="008A7E45" w:rsidRPr="00126D1E" w:rsidRDefault="008D47A2" w:rsidP="00A413CF">
      <w:pPr>
        <w:spacing w:line="276" w:lineRule="auto"/>
        <w:ind w:left="5103"/>
        <w:rPr>
          <w:rFonts w:ascii="Arial" w:hAnsi="Arial" w:cs="Arial"/>
          <w:b/>
          <w:sz w:val="22"/>
          <w:szCs w:val="22"/>
          <w:lang w:val="fr-BE"/>
        </w:rPr>
      </w:pPr>
      <w:r w:rsidRPr="00126D1E">
        <w:rPr>
          <w:rFonts w:ascii="Arial" w:hAnsi="Arial" w:cs="Arial"/>
          <w:b/>
          <w:sz w:val="22"/>
          <w:szCs w:val="22"/>
          <w:lang w:val="fr-BE"/>
        </w:rPr>
        <w:t xml:space="preserve">Département : </w:t>
      </w:r>
      <w:r w:rsidRPr="00126D1E">
        <w:rPr>
          <w:rFonts w:ascii="Arial" w:hAnsi="Arial" w:cs="Arial"/>
          <w:b/>
          <w:sz w:val="22"/>
          <w:szCs w:val="22"/>
          <w:lang w:val="fr-BE"/>
        </w:rPr>
        <w:tab/>
        <w:t>12</w:t>
      </w:r>
    </w:p>
    <w:p w14:paraId="74908265" w14:textId="2A61ED10" w:rsidR="008A7E45" w:rsidRPr="00126D1E" w:rsidRDefault="008A7E45" w:rsidP="00A413CF">
      <w:pPr>
        <w:spacing w:line="276" w:lineRule="auto"/>
        <w:ind w:left="5103"/>
        <w:rPr>
          <w:rFonts w:ascii="Arial" w:hAnsi="Arial" w:cs="Arial"/>
          <w:b/>
          <w:sz w:val="22"/>
          <w:szCs w:val="22"/>
          <w:lang w:val="fr-BE"/>
        </w:rPr>
      </w:pPr>
      <w:proofErr w:type="spellStart"/>
      <w:r w:rsidRPr="00126D1E">
        <w:rPr>
          <w:rFonts w:ascii="Arial" w:hAnsi="Arial" w:cs="Arial"/>
          <w:b/>
          <w:sz w:val="22"/>
          <w:szCs w:val="22"/>
          <w:lang w:val="fr-BE"/>
        </w:rPr>
        <w:t>Departement</w:t>
      </w:r>
      <w:proofErr w:type="spellEnd"/>
      <w:r w:rsidRPr="00126D1E">
        <w:rPr>
          <w:rFonts w:ascii="Arial" w:hAnsi="Arial" w:cs="Arial"/>
          <w:b/>
          <w:sz w:val="22"/>
          <w:szCs w:val="22"/>
          <w:lang w:val="fr-BE"/>
        </w:rPr>
        <w:t xml:space="preserve"> : </w:t>
      </w:r>
      <w:r w:rsidRPr="00126D1E">
        <w:rPr>
          <w:rFonts w:ascii="Arial" w:hAnsi="Arial" w:cs="Arial"/>
          <w:b/>
          <w:sz w:val="22"/>
          <w:szCs w:val="22"/>
          <w:lang w:val="fr-BE"/>
        </w:rPr>
        <w:tab/>
      </w:r>
      <w:r w:rsidR="00C23549">
        <w:rPr>
          <w:rFonts w:ascii="Arial" w:hAnsi="Arial" w:cs="Arial"/>
          <w:b/>
          <w:sz w:val="22"/>
          <w:szCs w:val="22"/>
          <w:lang w:val="fr-BE"/>
        </w:rPr>
        <w:t>12</w:t>
      </w:r>
    </w:p>
    <w:p w14:paraId="66E755C6" w14:textId="77777777" w:rsidR="008A7E45" w:rsidRPr="00126D1E" w:rsidRDefault="008A7E45" w:rsidP="00A413CF">
      <w:pPr>
        <w:spacing w:line="276" w:lineRule="auto"/>
        <w:ind w:left="5103"/>
        <w:rPr>
          <w:rFonts w:ascii="Arial" w:hAnsi="Arial" w:cs="Arial"/>
          <w:b/>
          <w:sz w:val="22"/>
          <w:szCs w:val="22"/>
          <w:lang w:val="fr-BE"/>
        </w:rPr>
      </w:pPr>
    </w:p>
    <w:p w14:paraId="53D27B26" w14:textId="19B85A43" w:rsidR="008A7E45" w:rsidRPr="00126D1E" w:rsidRDefault="00C6225C" w:rsidP="00A413CF">
      <w:pPr>
        <w:spacing w:line="276" w:lineRule="auto"/>
        <w:ind w:left="5103"/>
        <w:rPr>
          <w:rFonts w:ascii="Arial" w:hAnsi="Arial" w:cs="Arial"/>
          <w:b/>
          <w:sz w:val="22"/>
          <w:szCs w:val="22"/>
          <w:lang w:val="fr-BE"/>
        </w:rPr>
      </w:pPr>
      <w:r w:rsidRPr="00126D1E">
        <w:rPr>
          <w:rFonts w:ascii="Arial" w:hAnsi="Arial" w:cs="Arial"/>
          <w:b/>
          <w:sz w:val="22"/>
          <w:szCs w:val="22"/>
          <w:lang w:val="fr-BE"/>
        </w:rPr>
        <w:t xml:space="preserve">Document : </w:t>
      </w:r>
      <w:r w:rsidRPr="00126D1E">
        <w:rPr>
          <w:rFonts w:ascii="Arial" w:hAnsi="Arial" w:cs="Arial"/>
          <w:b/>
          <w:sz w:val="22"/>
          <w:szCs w:val="22"/>
          <w:lang w:val="fr-BE"/>
        </w:rPr>
        <w:tab/>
      </w:r>
      <w:r w:rsidR="007C3258" w:rsidRPr="00126D1E">
        <w:rPr>
          <w:rFonts w:ascii="Arial" w:hAnsi="Arial" w:cs="Arial"/>
          <w:b/>
          <w:sz w:val="22"/>
          <w:szCs w:val="22"/>
          <w:lang w:val="fr-BE"/>
        </w:rPr>
        <w:t>55 2022202318838</w:t>
      </w:r>
    </w:p>
    <w:p w14:paraId="4CCB4210" w14:textId="77777777" w:rsidR="008A7E45" w:rsidRPr="00126D1E" w:rsidRDefault="008A7E45" w:rsidP="00A413CF">
      <w:pPr>
        <w:spacing w:line="276" w:lineRule="auto"/>
        <w:ind w:left="5103"/>
        <w:rPr>
          <w:rFonts w:ascii="Arial" w:hAnsi="Arial" w:cs="Arial"/>
          <w:sz w:val="22"/>
          <w:szCs w:val="22"/>
          <w:lang w:val="fr-BE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653"/>
        <w:gridCol w:w="4917"/>
      </w:tblGrid>
      <w:tr w:rsidR="008A7E45" w:rsidRPr="001536EF" w14:paraId="462ADBEF" w14:textId="77777777" w:rsidTr="00740821">
        <w:tc>
          <w:tcPr>
            <w:tcW w:w="4653" w:type="dxa"/>
          </w:tcPr>
          <w:p w14:paraId="2CB230D0" w14:textId="15D0B26D" w:rsidR="003439F3" w:rsidRPr="00126D1E" w:rsidRDefault="003439F3" w:rsidP="007C3258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fr-BE"/>
              </w:rPr>
            </w:pPr>
            <w:r w:rsidRPr="00126D1E"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Réponse à la question parlementaire écrite n° </w:t>
            </w:r>
            <w:r w:rsidR="002C05EB" w:rsidRPr="00126D1E">
              <w:rPr>
                <w:rFonts w:ascii="Arial" w:hAnsi="Arial" w:cs="Arial"/>
                <w:b/>
                <w:sz w:val="22"/>
                <w:szCs w:val="22"/>
                <w:lang w:val="fr-BE"/>
              </w:rPr>
              <w:t>1</w:t>
            </w:r>
            <w:r w:rsidR="008D47A2" w:rsidRPr="00126D1E">
              <w:rPr>
                <w:rFonts w:ascii="Arial" w:hAnsi="Arial" w:cs="Arial"/>
                <w:b/>
                <w:sz w:val="22"/>
                <w:szCs w:val="22"/>
                <w:lang w:val="fr-BE"/>
              </w:rPr>
              <w:t>70</w:t>
            </w:r>
            <w:r w:rsidR="007C3258" w:rsidRPr="00126D1E">
              <w:rPr>
                <w:rFonts w:ascii="Arial" w:hAnsi="Arial" w:cs="Arial"/>
                <w:b/>
                <w:sz w:val="22"/>
                <w:szCs w:val="22"/>
                <w:lang w:val="fr-BE"/>
              </w:rPr>
              <w:t>6</w:t>
            </w:r>
            <w:r w:rsidRPr="00126D1E"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 de </w:t>
            </w:r>
            <w:r w:rsidR="00877074" w:rsidRPr="00126D1E">
              <w:rPr>
                <w:rFonts w:ascii="Arial" w:hAnsi="Arial" w:cs="Arial"/>
                <w:b/>
                <w:sz w:val="22"/>
                <w:szCs w:val="22"/>
                <w:lang w:val="fr-BE"/>
              </w:rPr>
              <w:t>monsieur</w:t>
            </w:r>
            <w:r w:rsidR="0078244A" w:rsidRPr="00126D1E"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 </w:t>
            </w:r>
            <w:r w:rsidR="00A67C06" w:rsidRPr="00126D1E">
              <w:rPr>
                <w:rFonts w:ascii="Arial" w:hAnsi="Arial" w:cs="Arial"/>
                <w:b/>
                <w:sz w:val="22"/>
                <w:szCs w:val="22"/>
                <w:lang w:val="fr-BE"/>
              </w:rPr>
              <w:t>DE</w:t>
            </w:r>
            <w:r w:rsidR="005E4E75" w:rsidRPr="00126D1E">
              <w:rPr>
                <w:rFonts w:ascii="Arial" w:hAnsi="Arial" w:cs="Arial"/>
                <w:b/>
                <w:sz w:val="22"/>
                <w:szCs w:val="22"/>
                <w:lang w:val="fr-BE"/>
              </w:rPr>
              <w:t>POORTERE</w:t>
            </w:r>
            <w:r w:rsidR="00EA280B" w:rsidRPr="00126D1E">
              <w:rPr>
                <w:rFonts w:ascii="Arial" w:hAnsi="Arial" w:cs="Arial"/>
                <w:b/>
                <w:sz w:val="22"/>
                <w:szCs w:val="22"/>
                <w:lang w:val="fr-BE"/>
              </w:rPr>
              <w:t>,</w:t>
            </w:r>
            <w:r w:rsidR="00877074" w:rsidRPr="00126D1E"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 Député datée du </w:t>
            </w:r>
            <w:r w:rsidR="008D47A2" w:rsidRPr="00126D1E">
              <w:rPr>
                <w:rFonts w:ascii="Arial" w:hAnsi="Arial" w:cs="Arial"/>
                <w:b/>
                <w:sz w:val="22"/>
                <w:szCs w:val="22"/>
                <w:lang w:val="fr-BE"/>
              </w:rPr>
              <w:t>06/02</w:t>
            </w:r>
            <w:r w:rsidR="00A16F78" w:rsidRPr="00126D1E">
              <w:rPr>
                <w:rFonts w:ascii="Arial" w:hAnsi="Arial" w:cs="Arial"/>
                <w:b/>
                <w:sz w:val="22"/>
                <w:szCs w:val="22"/>
                <w:lang w:val="fr-BE"/>
              </w:rPr>
              <w:t>/2023</w:t>
            </w:r>
            <w:r w:rsidRPr="00126D1E"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, concernant </w:t>
            </w:r>
            <w:r w:rsidR="00126D1E" w:rsidRPr="00126D1E">
              <w:rPr>
                <w:rFonts w:ascii="Arial" w:hAnsi="Arial" w:cs="Arial"/>
                <w:b/>
                <w:sz w:val="22"/>
                <w:szCs w:val="22"/>
                <w:lang w:val="fr-BE"/>
              </w:rPr>
              <w:t>« </w:t>
            </w:r>
            <w:r w:rsidR="00126D1E" w:rsidRPr="00126D1E">
              <w:rPr>
                <w:rFonts w:ascii="Arial" w:hAnsi="Arial"/>
                <w:b/>
                <w:sz w:val="22"/>
                <w:lang w:val="fr-BE"/>
              </w:rPr>
              <w:t>Police Fédérale, DGJ. -</w:t>
            </w:r>
            <w:r w:rsidR="00126D1E" w:rsidRPr="00126D1E">
              <w:rPr>
                <w:rFonts w:ascii="Arial" w:hAnsi="Arial"/>
                <w:b/>
                <w:color w:val="000000"/>
                <w:sz w:val="22"/>
                <w:lang w:val="fr-BE"/>
              </w:rPr>
              <w:t xml:space="preserve"> Organigramme, cadre du personnel et occupation du personnel »</w:t>
            </w:r>
            <w:r w:rsidR="001536EF">
              <w:rPr>
                <w:rFonts w:ascii="Arial" w:hAnsi="Arial"/>
                <w:b/>
                <w:color w:val="000000"/>
                <w:sz w:val="22"/>
                <w:lang w:val="fr-BE"/>
              </w:rPr>
              <w:t>.</w:t>
            </w:r>
          </w:p>
        </w:tc>
        <w:tc>
          <w:tcPr>
            <w:tcW w:w="4917" w:type="dxa"/>
          </w:tcPr>
          <w:p w14:paraId="74784CE5" w14:textId="10688C07" w:rsidR="008A7E45" w:rsidRPr="00635A0C" w:rsidRDefault="003439F3" w:rsidP="007C3258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  <w:r w:rsidRPr="00635A0C">
              <w:rPr>
                <w:rFonts w:ascii="Arial" w:hAnsi="Arial" w:cs="Arial"/>
                <w:b/>
                <w:color w:val="000000"/>
                <w:sz w:val="22"/>
                <w:szCs w:val="22"/>
                <w:lang w:val="nl-NL"/>
              </w:rPr>
              <w:t xml:space="preserve">Antwoord op de schriftelijke parlementaire vraag nr. </w:t>
            </w:r>
            <w:r w:rsidR="002C05EB" w:rsidRPr="00635A0C">
              <w:rPr>
                <w:rFonts w:ascii="Arial" w:hAnsi="Arial" w:cs="Arial"/>
                <w:b/>
                <w:color w:val="000000"/>
                <w:sz w:val="22"/>
                <w:szCs w:val="22"/>
                <w:lang w:val="nl-NL"/>
              </w:rPr>
              <w:t>1</w:t>
            </w:r>
            <w:r w:rsidR="008D47A2" w:rsidRPr="00635A0C">
              <w:rPr>
                <w:rFonts w:ascii="Arial" w:hAnsi="Arial" w:cs="Arial"/>
                <w:b/>
                <w:color w:val="000000"/>
                <w:sz w:val="22"/>
                <w:szCs w:val="22"/>
                <w:lang w:val="nl-NL"/>
              </w:rPr>
              <w:t>70</w:t>
            </w:r>
            <w:r w:rsidR="007C3258" w:rsidRPr="00635A0C">
              <w:rPr>
                <w:rFonts w:ascii="Arial" w:hAnsi="Arial" w:cs="Arial"/>
                <w:b/>
                <w:color w:val="000000"/>
                <w:sz w:val="22"/>
                <w:szCs w:val="22"/>
                <w:lang w:val="nl-NL"/>
              </w:rPr>
              <w:t>6</w:t>
            </w:r>
            <w:r w:rsidR="00010746" w:rsidRPr="00635A0C">
              <w:rPr>
                <w:rFonts w:ascii="Arial" w:hAnsi="Arial" w:cs="Arial"/>
                <w:b/>
                <w:color w:val="000000"/>
                <w:sz w:val="22"/>
                <w:szCs w:val="22"/>
                <w:lang w:val="nl-NL"/>
              </w:rPr>
              <w:t xml:space="preserve"> </w:t>
            </w:r>
            <w:r w:rsidRPr="00635A0C">
              <w:rPr>
                <w:rFonts w:ascii="Arial" w:hAnsi="Arial" w:cs="Arial"/>
                <w:b/>
                <w:color w:val="000000"/>
                <w:sz w:val="22"/>
                <w:szCs w:val="22"/>
                <w:lang w:val="nl-NL"/>
              </w:rPr>
              <w:t>van de heer</w:t>
            </w:r>
            <w:r w:rsidR="00E91C08" w:rsidRPr="00635A0C">
              <w:rPr>
                <w:rFonts w:ascii="Arial" w:hAnsi="Arial" w:cs="Arial"/>
                <w:b/>
                <w:color w:val="000000"/>
                <w:sz w:val="22"/>
                <w:szCs w:val="22"/>
                <w:lang w:val="nl-NL"/>
              </w:rPr>
              <w:t xml:space="preserve"> </w:t>
            </w:r>
            <w:r w:rsidR="00A67C06" w:rsidRPr="00635A0C">
              <w:rPr>
                <w:rFonts w:ascii="Arial" w:hAnsi="Arial" w:cs="Arial"/>
                <w:b/>
                <w:color w:val="000000"/>
                <w:sz w:val="22"/>
                <w:szCs w:val="22"/>
                <w:lang w:val="nl-NL"/>
              </w:rPr>
              <w:t>DE</w:t>
            </w:r>
            <w:r w:rsidR="005E4E75" w:rsidRPr="00635A0C">
              <w:rPr>
                <w:rFonts w:ascii="Arial" w:hAnsi="Arial" w:cs="Arial"/>
                <w:b/>
                <w:color w:val="000000"/>
                <w:sz w:val="22"/>
                <w:szCs w:val="22"/>
                <w:lang w:val="nl-NL"/>
              </w:rPr>
              <w:t>POORTERE</w:t>
            </w:r>
            <w:r w:rsidRPr="00635A0C">
              <w:rPr>
                <w:rFonts w:ascii="Arial" w:hAnsi="Arial" w:cs="Arial"/>
                <w:b/>
                <w:color w:val="000000"/>
                <w:sz w:val="22"/>
                <w:szCs w:val="22"/>
                <w:lang w:val="nl-NL"/>
              </w:rPr>
              <w:t>, V</w:t>
            </w:r>
            <w:r w:rsidR="00877074" w:rsidRPr="00635A0C">
              <w:rPr>
                <w:rFonts w:ascii="Arial" w:hAnsi="Arial" w:cs="Arial"/>
                <w:b/>
                <w:color w:val="000000"/>
                <w:sz w:val="22"/>
                <w:szCs w:val="22"/>
                <w:lang w:val="nl-NL"/>
              </w:rPr>
              <w:t xml:space="preserve">olksvertegenwoordiger van </w:t>
            </w:r>
            <w:r w:rsidR="008D47A2" w:rsidRPr="00635A0C">
              <w:rPr>
                <w:rFonts w:ascii="Arial" w:hAnsi="Arial" w:cs="Arial"/>
                <w:b/>
                <w:color w:val="000000"/>
                <w:sz w:val="22"/>
                <w:szCs w:val="22"/>
                <w:lang w:val="nl-NL"/>
              </w:rPr>
              <w:t>06/02</w:t>
            </w:r>
            <w:r w:rsidR="00A16F78" w:rsidRPr="00635A0C">
              <w:rPr>
                <w:rFonts w:ascii="Arial" w:hAnsi="Arial" w:cs="Arial"/>
                <w:b/>
                <w:color w:val="000000"/>
                <w:sz w:val="22"/>
                <w:szCs w:val="22"/>
                <w:lang w:val="nl-NL"/>
              </w:rPr>
              <w:t>/2023</w:t>
            </w:r>
            <w:r w:rsidR="00E91C08" w:rsidRPr="00635A0C">
              <w:rPr>
                <w:rFonts w:ascii="Arial" w:hAnsi="Arial" w:cs="Arial"/>
                <w:b/>
                <w:color w:val="000000"/>
                <w:sz w:val="22"/>
                <w:szCs w:val="22"/>
                <w:lang w:val="nl-NL"/>
              </w:rPr>
              <w:t xml:space="preserve">, betreffende </w:t>
            </w:r>
            <w:r w:rsidRPr="00635A0C">
              <w:rPr>
                <w:rFonts w:ascii="Arial" w:hAnsi="Arial" w:cs="Arial"/>
                <w:b/>
                <w:color w:val="000000"/>
                <w:sz w:val="22"/>
                <w:szCs w:val="22"/>
                <w:lang w:val="nl-NL"/>
              </w:rPr>
              <w:t>“</w:t>
            </w:r>
            <w:r w:rsidR="00E71F06" w:rsidRPr="00635A0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nl-NL"/>
              </w:rPr>
              <w:t>Federale politie, DGJ. - Organigram, personeelskader en personeelsbezetting</w:t>
            </w:r>
            <w:r w:rsidR="00C11134" w:rsidRPr="00635A0C">
              <w:rPr>
                <w:rFonts w:ascii="Arial" w:hAnsi="Arial" w:cs="Arial"/>
                <w:b/>
                <w:color w:val="000000"/>
                <w:sz w:val="22"/>
                <w:szCs w:val="22"/>
                <w:lang w:val="nl-NL"/>
              </w:rPr>
              <w:t>”</w:t>
            </w:r>
            <w:r w:rsidR="001536EF">
              <w:rPr>
                <w:rFonts w:ascii="Arial" w:hAnsi="Arial" w:cs="Arial"/>
                <w:b/>
                <w:color w:val="000000"/>
                <w:sz w:val="22"/>
                <w:szCs w:val="22"/>
                <w:lang w:val="nl-NL"/>
              </w:rPr>
              <w:t>.</w:t>
            </w:r>
          </w:p>
        </w:tc>
      </w:tr>
      <w:tr w:rsidR="00126D1E" w:rsidRPr="001536EF" w14:paraId="6E17ABD5" w14:textId="77777777" w:rsidTr="0034655D">
        <w:tc>
          <w:tcPr>
            <w:tcW w:w="4653" w:type="dxa"/>
          </w:tcPr>
          <w:p w14:paraId="7DCC32F1" w14:textId="77777777" w:rsidR="00126D1E" w:rsidRPr="000F1685" w:rsidRDefault="00126D1E" w:rsidP="00126D1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  <w:p w14:paraId="1DCB39E5" w14:textId="7FB8E0CC" w:rsidR="00126D1E" w:rsidRPr="000F1685" w:rsidRDefault="00126D1E" w:rsidP="00126D1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0F1685">
              <w:rPr>
                <w:rFonts w:ascii="Arial" w:hAnsi="Arial"/>
                <w:sz w:val="22"/>
                <w:lang w:val="fr-BE"/>
              </w:rPr>
              <w:t>L’honorable Membre trouvera ci-après la réponse aux questions posées.</w:t>
            </w:r>
          </w:p>
          <w:p w14:paraId="1878C0DD" w14:textId="77777777" w:rsidR="00126D1E" w:rsidRPr="000F1685" w:rsidRDefault="00126D1E" w:rsidP="00126D1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14:paraId="2AD8E5DE" w14:textId="77777777" w:rsidR="00EF0BB5" w:rsidRPr="000F1685" w:rsidRDefault="00126D1E" w:rsidP="00126D1E">
            <w:pPr>
              <w:spacing w:line="276" w:lineRule="auto"/>
              <w:jc w:val="both"/>
              <w:rPr>
                <w:rFonts w:ascii="Arial" w:hAnsi="Arial"/>
                <w:sz w:val="22"/>
                <w:lang w:val="fr-BE"/>
              </w:rPr>
            </w:pPr>
            <w:r w:rsidRPr="000F1685">
              <w:rPr>
                <w:rFonts w:ascii="Arial" w:hAnsi="Arial"/>
                <w:sz w:val="22"/>
                <w:lang w:val="fr-BE"/>
              </w:rPr>
              <w:t xml:space="preserve">1-2-4-5. </w:t>
            </w:r>
          </w:p>
          <w:p w14:paraId="6B8B9A60" w14:textId="0F7ED1F7" w:rsidR="00126D1E" w:rsidRPr="000F1685" w:rsidRDefault="00126D1E" w:rsidP="00126D1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0F1685">
              <w:rPr>
                <w:rFonts w:ascii="Arial" w:hAnsi="Arial"/>
                <w:sz w:val="22"/>
                <w:lang w:val="fr-BE"/>
              </w:rPr>
              <w:t>L'annexe 1 donne un aperçu de l'effectif sensu stricto en têtes de la Direction générale de la police judiciaire</w:t>
            </w:r>
            <w:r w:rsidR="00C23549" w:rsidRPr="000F1685">
              <w:rPr>
                <w:rFonts w:ascii="Arial" w:hAnsi="Arial"/>
                <w:sz w:val="22"/>
                <w:lang w:val="fr-BE"/>
              </w:rPr>
              <w:t xml:space="preserve"> (DGJ)</w:t>
            </w:r>
            <w:r w:rsidRPr="000F1685">
              <w:rPr>
                <w:rFonts w:ascii="Arial" w:hAnsi="Arial"/>
                <w:sz w:val="22"/>
                <w:lang w:val="fr-BE"/>
              </w:rPr>
              <w:t xml:space="preserve"> au 31/01/2023. Le tableau indique également le cadre théorique et son pourcentage de remplissage.</w:t>
            </w:r>
          </w:p>
          <w:p w14:paraId="65AE48A3" w14:textId="77777777" w:rsidR="00126D1E" w:rsidRDefault="00126D1E" w:rsidP="00126D1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14:paraId="46C76B1C" w14:textId="77777777" w:rsidR="001536EF" w:rsidRPr="000F1685" w:rsidRDefault="001536EF" w:rsidP="00126D1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14:paraId="0D0610DB" w14:textId="77777777" w:rsidR="00C4556F" w:rsidRPr="000F1685" w:rsidRDefault="00126D1E" w:rsidP="00126D1E">
            <w:pPr>
              <w:spacing w:line="276" w:lineRule="auto"/>
              <w:jc w:val="both"/>
              <w:rPr>
                <w:rFonts w:ascii="Arial" w:hAnsi="Arial"/>
                <w:sz w:val="22"/>
                <w:lang w:val="fr-BE"/>
              </w:rPr>
            </w:pPr>
            <w:r w:rsidRPr="000F1685">
              <w:rPr>
                <w:rFonts w:ascii="Arial" w:hAnsi="Arial"/>
                <w:sz w:val="22"/>
                <w:lang w:val="fr-BE"/>
              </w:rPr>
              <w:t xml:space="preserve">3. </w:t>
            </w:r>
          </w:p>
          <w:p w14:paraId="3CCB5399" w14:textId="26E996B7" w:rsidR="00126D1E" w:rsidRPr="000F1685" w:rsidRDefault="00126D1E" w:rsidP="00126D1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0F1685">
              <w:rPr>
                <w:rFonts w:ascii="Arial" w:hAnsi="Arial"/>
                <w:sz w:val="22"/>
                <w:lang w:val="fr-BE"/>
              </w:rPr>
              <w:t xml:space="preserve">L'annexe 1 donne également un aperçu du nombre de membres du personnel répartis entre les membres du personnel </w:t>
            </w:r>
            <w:r w:rsidR="00C23549" w:rsidRPr="000F1685">
              <w:rPr>
                <w:rFonts w:ascii="Arial" w:hAnsi="Arial"/>
                <w:sz w:val="22"/>
                <w:lang w:val="fr-BE"/>
              </w:rPr>
              <w:t xml:space="preserve">du cadre opérationnel ainsi que du cadre logistique et administratif (les </w:t>
            </w:r>
            <w:proofErr w:type="spellStart"/>
            <w:r w:rsidR="00C23549" w:rsidRPr="000F1685">
              <w:rPr>
                <w:rFonts w:ascii="Arial" w:hAnsi="Arial"/>
                <w:sz w:val="22"/>
                <w:lang w:val="fr-BE"/>
              </w:rPr>
              <w:t>CALog</w:t>
            </w:r>
            <w:proofErr w:type="spellEnd"/>
            <w:r w:rsidR="00C23549" w:rsidRPr="000F1685">
              <w:rPr>
                <w:rFonts w:ascii="Arial" w:hAnsi="Arial"/>
                <w:sz w:val="22"/>
                <w:lang w:val="fr-BE"/>
              </w:rPr>
              <w:t>).</w:t>
            </w:r>
            <w:r w:rsidRPr="000F1685">
              <w:rPr>
                <w:rFonts w:ascii="Arial" w:hAnsi="Arial"/>
                <w:sz w:val="22"/>
                <w:lang w:val="fr-BE"/>
              </w:rPr>
              <w:t xml:space="preserve">L'annexe 2 liste ces membres du personnel par sexe. </w:t>
            </w:r>
          </w:p>
          <w:p w14:paraId="5F52ED38" w14:textId="77777777" w:rsidR="00126D1E" w:rsidRPr="000F1685" w:rsidRDefault="00126D1E" w:rsidP="00126D1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0F1685">
              <w:rPr>
                <w:rFonts w:ascii="Arial" w:hAnsi="Arial"/>
                <w:sz w:val="22"/>
                <w:lang w:val="fr-BE"/>
              </w:rPr>
              <w:t>L'annexe 3 liste ces membres du personnel par âge moyen.</w:t>
            </w:r>
          </w:p>
          <w:p w14:paraId="0B6378FB" w14:textId="77777777" w:rsidR="00126D1E" w:rsidRPr="000F1685" w:rsidRDefault="00126D1E" w:rsidP="00126D1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0F1685">
              <w:rPr>
                <w:rFonts w:ascii="Arial" w:hAnsi="Arial"/>
                <w:sz w:val="22"/>
                <w:lang w:val="fr-BE"/>
              </w:rPr>
              <w:t xml:space="preserve">L'annexe 4 liste ces membres du personnel en fonction du nombre moyen d'années de service. </w:t>
            </w:r>
          </w:p>
          <w:p w14:paraId="0224DD6D" w14:textId="77777777" w:rsidR="00126D1E" w:rsidRPr="000F1685" w:rsidRDefault="00126D1E" w:rsidP="00126D1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0F1685">
              <w:rPr>
                <w:rFonts w:ascii="Arial" w:hAnsi="Arial"/>
                <w:sz w:val="22"/>
                <w:lang w:val="fr-BE"/>
              </w:rPr>
              <w:t>L'annexe 5 liste ces membres du personnel par grade.</w:t>
            </w:r>
          </w:p>
          <w:p w14:paraId="2CA320C4" w14:textId="079C285C" w:rsidR="00EF0BB5" w:rsidRPr="001536EF" w:rsidRDefault="00C23549" w:rsidP="00126D1E">
            <w:pPr>
              <w:spacing w:line="276" w:lineRule="auto"/>
              <w:jc w:val="both"/>
              <w:rPr>
                <w:rFonts w:ascii="Arial" w:hAnsi="Arial"/>
                <w:sz w:val="22"/>
                <w:lang w:val="fr-BE"/>
              </w:rPr>
            </w:pPr>
            <w:r w:rsidRPr="000F1685">
              <w:rPr>
                <w:rFonts w:ascii="Arial" w:hAnsi="Arial"/>
                <w:sz w:val="22"/>
                <w:lang w:val="fr-BE"/>
              </w:rPr>
              <w:t xml:space="preserve">Les chiffres présentent </w:t>
            </w:r>
            <w:r w:rsidR="00126D1E" w:rsidRPr="000F1685">
              <w:rPr>
                <w:rFonts w:ascii="Arial" w:hAnsi="Arial"/>
                <w:sz w:val="22"/>
                <w:lang w:val="fr-BE"/>
              </w:rPr>
              <w:t xml:space="preserve"> la situation au 31/01/2023.</w:t>
            </w:r>
          </w:p>
          <w:p w14:paraId="17057E63" w14:textId="77777777" w:rsidR="00EF0BB5" w:rsidRPr="000F1685" w:rsidRDefault="00EF0BB5" w:rsidP="00126D1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14:paraId="35305083" w14:textId="77777777" w:rsidR="00C4556F" w:rsidRPr="000F1685" w:rsidRDefault="00635A0C" w:rsidP="00126D1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0F1685">
              <w:rPr>
                <w:rFonts w:ascii="Arial" w:hAnsi="Arial" w:cs="Arial"/>
                <w:sz w:val="22"/>
                <w:szCs w:val="22"/>
                <w:lang w:val="fr-BE"/>
              </w:rPr>
              <w:t>6.</w:t>
            </w:r>
          </w:p>
          <w:p w14:paraId="679A4151" w14:textId="0F49A376" w:rsidR="00E433AA" w:rsidRPr="000F1685" w:rsidRDefault="00E433AA" w:rsidP="00126D1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0F1685">
              <w:rPr>
                <w:rFonts w:ascii="Arial" w:hAnsi="Arial" w:cs="Arial"/>
                <w:sz w:val="22"/>
                <w:szCs w:val="22"/>
                <w:lang w:val="fr-BE"/>
              </w:rPr>
              <w:t xml:space="preserve">En juin 2022, le Conseil des ministres a décidé de garantir le remplacement des </w:t>
            </w:r>
            <w:r w:rsidRPr="000F1685">
              <w:rPr>
                <w:rFonts w:ascii="Arial" w:hAnsi="Arial" w:cs="Arial"/>
                <w:sz w:val="22"/>
                <w:szCs w:val="22"/>
                <w:lang w:val="fr-BE"/>
              </w:rPr>
              <w:lastRenderedPageBreak/>
              <w:t xml:space="preserve">collaborateurs quittant la Police judiciaire fédérale et d’augmenter la capacité globale de 195 enquêteurs d’ici à la fin 2024. Ceux-ci seront affectés aux directions déconcentrées. Ces recrutements permettront d’améliorer la capacité des directions qui sont les plus déficitaires, de sorte de porter au moins leur capacité à 90% du tableau organique, et même 95% pour les cinq PJF </w:t>
            </w:r>
            <w:proofErr w:type="spellStart"/>
            <w:r w:rsidR="002F6E27">
              <w:rPr>
                <w:rFonts w:ascii="Arial" w:hAnsi="Arial" w:cs="Arial"/>
                <w:sz w:val="22"/>
                <w:szCs w:val="22"/>
                <w:lang w:val="fr-BE"/>
              </w:rPr>
              <w:t>respectivements</w:t>
            </w:r>
            <w:proofErr w:type="spellEnd"/>
            <w:r w:rsidR="002F6E27">
              <w:rPr>
                <w:rFonts w:ascii="Arial" w:hAnsi="Arial" w:cs="Arial"/>
                <w:sz w:val="22"/>
                <w:szCs w:val="22"/>
                <w:lang w:val="fr-BE"/>
              </w:rPr>
              <w:t xml:space="preserve"> dotés d’une </w:t>
            </w:r>
            <w:r w:rsidRPr="000F1685">
              <w:rPr>
                <w:rFonts w:ascii="Arial" w:hAnsi="Arial" w:cs="Arial"/>
                <w:sz w:val="22"/>
                <w:szCs w:val="22"/>
                <w:lang w:val="fr-BE"/>
              </w:rPr>
              <w:t xml:space="preserve">Cour d’appel. </w:t>
            </w:r>
          </w:p>
          <w:p w14:paraId="1603387A" w14:textId="731429F3" w:rsidR="00635A0C" w:rsidRPr="000F1685" w:rsidRDefault="00E433AA" w:rsidP="00126D1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0F1685">
              <w:rPr>
                <w:rFonts w:ascii="Arial" w:hAnsi="Arial" w:cs="Arial"/>
                <w:sz w:val="22"/>
                <w:szCs w:val="22"/>
                <w:lang w:val="fr-BE"/>
              </w:rPr>
              <w:t>Les recrutements sont en cours.</w:t>
            </w:r>
          </w:p>
          <w:p w14:paraId="249141E8" w14:textId="77777777" w:rsidR="00635A0C" w:rsidRPr="000F1685" w:rsidRDefault="00635A0C" w:rsidP="00126D1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14:paraId="31456A6D" w14:textId="77777777" w:rsidR="00C4556F" w:rsidRPr="000F1685" w:rsidRDefault="00126D1E" w:rsidP="00126D1E">
            <w:pPr>
              <w:spacing w:line="276" w:lineRule="auto"/>
              <w:jc w:val="both"/>
              <w:rPr>
                <w:rFonts w:ascii="Arial" w:hAnsi="Arial"/>
                <w:sz w:val="22"/>
                <w:lang w:val="fr-BE"/>
              </w:rPr>
            </w:pPr>
            <w:r w:rsidRPr="000F1685">
              <w:rPr>
                <w:rFonts w:ascii="Arial" w:hAnsi="Arial"/>
                <w:sz w:val="22"/>
                <w:lang w:val="fr-BE"/>
              </w:rPr>
              <w:t xml:space="preserve">7. </w:t>
            </w:r>
          </w:p>
          <w:p w14:paraId="773DE77C" w14:textId="0BD0839E" w:rsidR="00126D1E" w:rsidRPr="000F1685" w:rsidRDefault="00126D1E" w:rsidP="00126D1E">
            <w:pPr>
              <w:spacing w:line="276" w:lineRule="auto"/>
              <w:jc w:val="both"/>
              <w:rPr>
                <w:rFonts w:ascii="Arial" w:hAnsi="Arial"/>
                <w:sz w:val="22"/>
                <w:lang w:val="fr-BE"/>
              </w:rPr>
            </w:pPr>
            <w:r w:rsidRPr="000F1685">
              <w:rPr>
                <w:rFonts w:ascii="Arial" w:hAnsi="Arial"/>
                <w:sz w:val="22"/>
                <w:lang w:val="fr-BE"/>
              </w:rPr>
              <w:t xml:space="preserve">Entre janvier 2022 et janvier 2023, 293 membres du personnel ont quitté la DGJ. Il s'agit des départs définitifs (pensions, démissions), mais aussi de tous les mouvements </w:t>
            </w:r>
            <w:r w:rsidR="001536EF">
              <w:rPr>
                <w:rFonts w:ascii="Arial" w:hAnsi="Arial"/>
                <w:sz w:val="22"/>
                <w:lang w:val="fr-BE"/>
              </w:rPr>
              <w:t>partants</w:t>
            </w:r>
            <w:r w:rsidRPr="000F1685">
              <w:rPr>
                <w:rFonts w:ascii="Arial" w:hAnsi="Arial"/>
                <w:sz w:val="22"/>
                <w:lang w:val="fr-BE"/>
              </w:rPr>
              <w:t>, en raison, entre autres, de la NAPAP, de la mobilité interne (</w:t>
            </w:r>
            <w:r w:rsidR="002F6E27" w:rsidRPr="002F6E27">
              <w:rPr>
                <w:rFonts w:ascii="Arial" w:hAnsi="Arial"/>
                <w:sz w:val="22"/>
                <w:lang w:val="fr-BE"/>
              </w:rPr>
              <w:t>Police Fédérale interne ou de la Police Fédérale vers les zones de police locale</w:t>
            </w:r>
            <w:r w:rsidRPr="000F1685">
              <w:rPr>
                <w:rFonts w:ascii="Arial" w:hAnsi="Arial"/>
                <w:sz w:val="22"/>
                <w:lang w:val="fr-BE"/>
              </w:rPr>
              <w:t xml:space="preserve">) et des détachements. </w:t>
            </w:r>
          </w:p>
          <w:p w14:paraId="2B361DC0" w14:textId="77777777" w:rsidR="00635A0C" w:rsidRPr="000F1685" w:rsidRDefault="00635A0C" w:rsidP="00126D1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14:paraId="735D649F" w14:textId="77777777" w:rsidR="00C4556F" w:rsidRPr="000F1685" w:rsidRDefault="00126D1E" w:rsidP="00126D1E">
            <w:pPr>
              <w:spacing w:line="276" w:lineRule="auto"/>
              <w:jc w:val="both"/>
              <w:rPr>
                <w:rFonts w:ascii="Arial" w:hAnsi="Arial"/>
                <w:sz w:val="22"/>
                <w:lang w:val="fr-BE"/>
              </w:rPr>
            </w:pPr>
            <w:r w:rsidRPr="000F1685">
              <w:rPr>
                <w:rFonts w:ascii="Arial" w:hAnsi="Arial"/>
                <w:sz w:val="22"/>
                <w:lang w:val="fr-BE"/>
              </w:rPr>
              <w:t xml:space="preserve">8. </w:t>
            </w:r>
          </w:p>
          <w:p w14:paraId="1CE6869F" w14:textId="525DDAAF" w:rsidR="00126D1E" w:rsidRPr="000F1685" w:rsidRDefault="00126D1E" w:rsidP="00126D1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0F1685">
              <w:rPr>
                <w:rFonts w:ascii="Arial" w:hAnsi="Arial"/>
                <w:sz w:val="22"/>
                <w:lang w:val="fr-BE"/>
              </w:rPr>
              <w:t xml:space="preserve">Entre janvier 2022 et janvier 2023, 313 membres du personnel ont rejoint la DGJ. Il s’agit des nouveaux recrutements, mais aussi </w:t>
            </w:r>
            <w:r w:rsidR="00C23549" w:rsidRPr="000F1685">
              <w:rPr>
                <w:rFonts w:ascii="Arial" w:hAnsi="Arial"/>
                <w:sz w:val="22"/>
                <w:lang w:val="fr-BE"/>
              </w:rPr>
              <w:t xml:space="preserve">de </w:t>
            </w:r>
            <w:r w:rsidRPr="000F1685">
              <w:rPr>
                <w:rFonts w:ascii="Arial" w:hAnsi="Arial"/>
                <w:sz w:val="22"/>
                <w:lang w:val="fr-BE"/>
              </w:rPr>
              <w:t xml:space="preserve">tous les mouvements </w:t>
            </w:r>
            <w:r w:rsidR="001536EF">
              <w:rPr>
                <w:rFonts w:ascii="Arial" w:hAnsi="Arial"/>
                <w:sz w:val="22"/>
                <w:lang w:val="fr-BE"/>
              </w:rPr>
              <w:t>entrants</w:t>
            </w:r>
            <w:r w:rsidRPr="000F1685">
              <w:rPr>
                <w:rFonts w:ascii="Arial" w:hAnsi="Arial"/>
                <w:sz w:val="22"/>
                <w:lang w:val="fr-BE"/>
              </w:rPr>
              <w:t>, suite, entre autres, à la mobilité interne (</w:t>
            </w:r>
            <w:r w:rsidR="001536EF" w:rsidRPr="001536EF">
              <w:rPr>
                <w:rFonts w:ascii="Arial" w:hAnsi="Arial"/>
                <w:sz w:val="22"/>
                <w:lang w:val="fr-BE"/>
              </w:rPr>
              <w:t>Police Fédérale interne ou de la Police Fédérale vers les zones de police locale</w:t>
            </w:r>
            <w:r w:rsidRPr="000F1685">
              <w:rPr>
                <w:rFonts w:ascii="Arial" w:hAnsi="Arial"/>
                <w:sz w:val="22"/>
                <w:lang w:val="fr-BE"/>
              </w:rPr>
              <w:t xml:space="preserve">) et aux nouveaux détachements. </w:t>
            </w:r>
          </w:p>
          <w:p w14:paraId="39A92EF5" w14:textId="77777777" w:rsidR="00126D1E" w:rsidRPr="000F1685" w:rsidRDefault="00126D1E" w:rsidP="00126D1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14:paraId="77A0A3DA" w14:textId="77777777" w:rsidR="00C4556F" w:rsidRPr="000F1685" w:rsidRDefault="00635A0C" w:rsidP="00126D1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0F1685">
              <w:rPr>
                <w:rFonts w:ascii="Arial" w:hAnsi="Arial" w:cs="Arial"/>
                <w:sz w:val="22"/>
                <w:szCs w:val="22"/>
                <w:lang w:val="fr-BE"/>
              </w:rPr>
              <w:t>9.</w:t>
            </w:r>
            <w:r w:rsidR="00C4733A" w:rsidRPr="000F1685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</w:p>
          <w:p w14:paraId="70AE6904" w14:textId="759B4CE7" w:rsidR="00635A0C" w:rsidRPr="000F1685" w:rsidRDefault="001536EF" w:rsidP="00126D1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En</w:t>
            </w:r>
            <w:r w:rsidRPr="000F1685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C4733A" w:rsidRPr="000F1685">
              <w:rPr>
                <w:rFonts w:ascii="Arial" w:hAnsi="Arial" w:cs="Arial"/>
                <w:sz w:val="22"/>
                <w:szCs w:val="22"/>
                <w:lang w:val="fr-BE"/>
              </w:rPr>
              <w:t xml:space="preserve">2023, le remplacement des départs (environ 250 par an) et l’engagement complémentaire de 110 personnes </w:t>
            </w:r>
            <w:r w:rsidR="004411BB" w:rsidRPr="000F1685">
              <w:rPr>
                <w:rFonts w:ascii="Arial" w:hAnsi="Arial" w:cs="Arial"/>
                <w:sz w:val="22"/>
                <w:szCs w:val="22"/>
                <w:lang w:val="fr-BE"/>
              </w:rPr>
              <w:t>sont</w:t>
            </w:r>
            <w:r w:rsidR="00C4733A" w:rsidRPr="000F1685">
              <w:rPr>
                <w:rFonts w:ascii="Arial" w:hAnsi="Arial" w:cs="Arial"/>
                <w:sz w:val="22"/>
                <w:szCs w:val="22"/>
                <w:lang w:val="fr-BE"/>
              </w:rPr>
              <w:t xml:space="preserve"> espéré</w:t>
            </w:r>
            <w:r w:rsidR="004411BB" w:rsidRPr="000F1685">
              <w:rPr>
                <w:rFonts w:ascii="Arial" w:hAnsi="Arial" w:cs="Arial"/>
                <w:sz w:val="22"/>
                <w:szCs w:val="22"/>
                <w:lang w:val="fr-BE"/>
              </w:rPr>
              <w:t>s</w:t>
            </w:r>
            <w:r w:rsidR="00C4733A" w:rsidRPr="000F1685">
              <w:rPr>
                <w:rFonts w:ascii="Arial" w:hAnsi="Arial" w:cs="Arial"/>
                <w:sz w:val="22"/>
                <w:szCs w:val="22"/>
                <w:lang w:val="fr-BE"/>
              </w:rPr>
              <w:t>. Ces objectifs seront évidemment fonctions de la réalité du marché du travail interne et externe.</w:t>
            </w:r>
          </w:p>
          <w:p w14:paraId="00D19B43" w14:textId="187F8F70" w:rsidR="00C4733A" w:rsidRPr="000F1685" w:rsidRDefault="00C4733A" w:rsidP="00126D1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4917" w:type="dxa"/>
          </w:tcPr>
          <w:p w14:paraId="5EFF4667" w14:textId="77777777" w:rsidR="00126D1E" w:rsidRPr="000F1685" w:rsidRDefault="00126D1E" w:rsidP="00126D1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14:paraId="043E1C54" w14:textId="28339C48" w:rsidR="00126D1E" w:rsidRPr="000F1685" w:rsidRDefault="00126D1E" w:rsidP="00126D1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0F1685">
              <w:rPr>
                <w:rFonts w:ascii="Arial" w:hAnsi="Arial" w:cs="Arial"/>
                <w:sz w:val="22"/>
                <w:szCs w:val="22"/>
                <w:lang w:val="nl-NL"/>
              </w:rPr>
              <w:t>Het Geachte Lid vindt hieronder het antwoord op de gestelde vragen.</w:t>
            </w:r>
          </w:p>
          <w:p w14:paraId="5DD184D4" w14:textId="7EC03711" w:rsidR="00126D1E" w:rsidRPr="000F1685" w:rsidRDefault="00126D1E" w:rsidP="00126D1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  <w:p w14:paraId="70220913" w14:textId="77777777" w:rsidR="00EF0BB5" w:rsidRPr="000F1685" w:rsidRDefault="00126D1E" w:rsidP="00126D1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0F1685">
              <w:rPr>
                <w:rFonts w:ascii="Arial" w:hAnsi="Arial" w:cs="Arial"/>
                <w:sz w:val="22"/>
                <w:szCs w:val="22"/>
                <w:lang w:val="nl-NL"/>
              </w:rPr>
              <w:t xml:space="preserve">1-2-4-5. </w:t>
            </w:r>
          </w:p>
          <w:p w14:paraId="3FB482D6" w14:textId="3E94AC51" w:rsidR="00126D1E" w:rsidRPr="000F1685" w:rsidRDefault="00126D1E" w:rsidP="00126D1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0F1685">
              <w:rPr>
                <w:rFonts w:ascii="Arial" w:hAnsi="Arial" w:cs="Arial"/>
                <w:sz w:val="22"/>
                <w:szCs w:val="22"/>
                <w:lang w:val="nl-NL"/>
              </w:rPr>
              <w:t xml:space="preserve">Bijlage 1 biedt een overzicht van het personeelsbestand </w:t>
            </w:r>
            <w:proofErr w:type="spellStart"/>
            <w:r w:rsidRPr="000F1685">
              <w:rPr>
                <w:rFonts w:ascii="Arial" w:hAnsi="Arial" w:cs="Arial"/>
                <w:sz w:val="22"/>
                <w:szCs w:val="22"/>
                <w:lang w:val="nl-NL"/>
              </w:rPr>
              <w:t>sensu</w:t>
            </w:r>
            <w:proofErr w:type="spellEnd"/>
            <w:r w:rsidRPr="000F1685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0F1685">
              <w:rPr>
                <w:rFonts w:ascii="Arial" w:hAnsi="Arial" w:cs="Arial"/>
                <w:sz w:val="22"/>
                <w:szCs w:val="22"/>
                <w:lang w:val="nl-NL"/>
              </w:rPr>
              <w:t>stricto</w:t>
            </w:r>
            <w:proofErr w:type="spellEnd"/>
            <w:r w:rsidRPr="000F1685">
              <w:rPr>
                <w:rFonts w:ascii="Arial" w:hAnsi="Arial" w:cs="Arial"/>
                <w:sz w:val="22"/>
                <w:szCs w:val="22"/>
                <w:lang w:val="nl-NL"/>
              </w:rPr>
              <w:t xml:space="preserve"> in hoofde van de Algemene Directie van de gerechtelijke politie</w:t>
            </w:r>
            <w:r w:rsidR="00C23549" w:rsidRPr="000F1685">
              <w:rPr>
                <w:rFonts w:ascii="Arial" w:hAnsi="Arial" w:cs="Arial"/>
                <w:sz w:val="22"/>
                <w:szCs w:val="22"/>
                <w:lang w:val="nl-NL"/>
              </w:rPr>
              <w:t xml:space="preserve"> (DGJ)</w:t>
            </w:r>
            <w:r w:rsidRPr="000F1685">
              <w:rPr>
                <w:rFonts w:ascii="Arial" w:hAnsi="Arial" w:cs="Arial"/>
                <w:sz w:val="22"/>
                <w:szCs w:val="22"/>
                <w:lang w:val="nl-NL"/>
              </w:rPr>
              <w:t xml:space="preserve"> op 31/01/2023. De tabel vermeldt eveneens het theoretisch kader en de procentuele opvulling hiervan.</w:t>
            </w:r>
          </w:p>
          <w:p w14:paraId="0B0C2369" w14:textId="77777777" w:rsidR="00126D1E" w:rsidRPr="000F1685" w:rsidRDefault="00126D1E" w:rsidP="00126D1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  <w:p w14:paraId="5F4A6084" w14:textId="77777777" w:rsidR="00C4556F" w:rsidRPr="000F1685" w:rsidRDefault="00126D1E" w:rsidP="00126D1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0F1685">
              <w:rPr>
                <w:rFonts w:ascii="Arial" w:hAnsi="Arial" w:cs="Arial"/>
                <w:sz w:val="22"/>
                <w:szCs w:val="22"/>
                <w:lang w:val="nl-NL"/>
              </w:rPr>
              <w:t xml:space="preserve">3. </w:t>
            </w:r>
          </w:p>
          <w:p w14:paraId="6BB73A8D" w14:textId="18F00741" w:rsidR="00126D1E" w:rsidRPr="000F1685" w:rsidRDefault="00635A0C" w:rsidP="00126D1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0F1685">
              <w:rPr>
                <w:rFonts w:ascii="Arial" w:hAnsi="Arial" w:cs="Arial"/>
                <w:sz w:val="22"/>
                <w:szCs w:val="22"/>
                <w:lang w:val="nl-NL"/>
              </w:rPr>
              <w:t>Bijlage 1 geeft tevens een overzicht van het aantal personeelsleden per kader</w:t>
            </w:r>
            <w:r w:rsidR="00C4556F" w:rsidRPr="000F1685">
              <w:rPr>
                <w:rFonts w:ascii="Arial" w:hAnsi="Arial" w:cs="Arial"/>
                <w:sz w:val="22"/>
                <w:szCs w:val="22"/>
                <w:lang w:val="nl-NL"/>
              </w:rPr>
              <w:t>, zowel</w:t>
            </w:r>
            <w:r w:rsidRPr="000F1685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r w:rsidR="00C4556F" w:rsidRPr="000F1685">
              <w:rPr>
                <w:rFonts w:ascii="Arial" w:hAnsi="Arial" w:cs="Arial"/>
                <w:sz w:val="22"/>
                <w:szCs w:val="22"/>
                <w:lang w:val="nl-NL"/>
              </w:rPr>
              <w:t xml:space="preserve">van </w:t>
            </w:r>
            <w:r w:rsidRPr="000F1685">
              <w:rPr>
                <w:rFonts w:ascii="Arial" w:hAnsi="Arial" w:cs="Arial"/>
                <w:sz w:val="22"/>
                <w:szCs w:val="22"/>
                <w:lang w:val="nl-NL"/>
              </w:rPr>
              <w:t>operationele</w:t>
            </w:r>
            <w:r w:rsidR="00C4556F" w:rsidRPr="000F1685">
              <w:rPr>
                <w:rFonts w:ascii="Arial" w:hAnsi="Arial" w:cs="Arial"/>
                <w:sz w:val="22"/>
                <w:szCs w:val="22"/>
                <w:lang w:val="nl-NL"/>
              </w:rPr>
              <w:t xml:space="preserve"> personeelsleden</w:t>
            </w:r>
            <w:r w:rsidRPr="000F1685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r w:rsidR="00C4556F" w:rsidRPr="000F1685">
              <w:rPr>
                <w:rFonts w:ascii="Arial" w:hAnsi="Arial" w:cs="Arial"/>
                <w:sz w:val="22"/>
                <w:szCs w:val="22"/>
                <w:lang w:val="nl-NL"/>
              </w:rPr>
              <w:t>als burgerpersoneel (</w:t>
            </w:r>
            <w:proofErr w:type="spellStart"/>
            <w:r w:rsidRPr="000F1685">
              <w:rPr>
                <w:rFonts w:ascii="Arial" w:hAnsi="Arial" w:cs="Arial"/>
                <w:sz w:val="22"/>
                <w:szCs w:val="22"/>
                <w:lang w:val="nl-NL"/>
              </w:rPr>
              <w:t>CALog</w:t>
            </w:r>
            <w:proofErr w:type="spellEnd"/>
            <w:r w:rsidRPr="000F1685">
              <w:rPr>
                <w:rFonts w:ascii="Arial" w:hAnsi="Arial" w:cs="Arial"/>
                <w:sz w:val="22"/>
                <w:szCs w:val="22"/>
                <w:lang w:val="nl-NL"/>
              </w:rPr>
              <w:t>-).</w:t>
            </w:r>
          </w:p>
          <w:p w14:paraId="6F4E1108" w14:textId="77777777" w:rsidR="00126D1E" w:rsidRPr="000F1685" w:rsidRDefault="00126D1E" w:rsidP="00126D1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0F1685">
              <w:rPr>
                <w:rFonts w:ascii="Arial" w:hAnsi="Arial" w:cs="Arial"/>
                <w:sz w:val="22"/>
                <w:szCs w:val="22"/>
                <w:lang w:val="nl-NL"/>
              </w:rPr>
              <w:t xml:space="preserve">Bijlage 2 geeft een overzicht van deze personeelsleden per geslacht. </w:t>
            </w:r>
          </w:p>
          <w:p w14:paraId="20F049A2" w14:textId="77777777" w:rsidR="00126D1E" w:rsidRPr="000F1685" w:rsidRDefault="00126D1E" w:rsidP="00126D1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0F1685">
              <w:rPr>
                <w:rFonts w:ascii="Arial" w:hAnsi="Arial" w:cs="Arial"/>
                <w:sz w:val="22"/>
                <w:szCs w:val="22"/>
                <w:lang w:val="nl-NL"/>
              </w:rPr>
              <w:t>Bijlage 3 geeft een overzicht van deze personeelsleden naar gemiddelde leeftijd.</w:t>
            </w:r>
          </w:p>
          <w:p w14:paraId="3D458AB8" w14:textId="77777777" w:rsidR="00126D1E" w:rsidRPr="000F1685" w:rsidRDefault="00126D1E" w:rsidP="00126D1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0F1685">
              <w:rPr>
                <w:rFonts w:ascii="Arial" w:hAnsi="Arial" w:cs="Arial"/>
                <w:sz w:val="22"/>
                <w:szCs w:val="22"/>
                <w:lang w:val="nl-NL"/>
              </w:rPr>
              <w:t xml:space="preserve">Bijlage 4 geeft een overzicht van deze personeelsleden naar gemiddeld aantal dienstjaren. </w:t>
            </w:r>
          </w:p>
          <w:p w14:paraId="2FE77788" w14:textId="77777777" w:rsidR="00126D1E" w:rsidRPr="000F1685" w:rsidRDefault="00126D1E" w:rsidP="00126D1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0F1685">
              <w:rPr>
                <w:rFonts w:ascii="Arial" w:hAnsi="Arial" w:cs="Arial"/>
                <w:sz w:val="22"/>
                <w:szCs w:val="22"/>
                <w:lang w:val="nl-NL"/>
              </w:rPr>
              <w:t>Bijlage 5 geeft een overzicht van deze personeelsleden per graad.</w:t>
            </w:r>
          </w:p>
          <w:p w14:paraId="5DE16935" w14:textId="4BEB1584" w:rsidR="00126D1E" w:rsidRPr="000F1685" w:rsidRDefault="00C4556F" w:rsidP="00126D1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0F1685">
              <w:rPr>
                <w:rFonts w:ascii="Arial" w:hAnsi="Arial" w:cs="Arial"/>
                <w:sz w:val="22"/>
                <w:szCs w:val="22"/>
                <w:lang w:val="nl-NL"/>
              </w:rPr>
              <w:t xml:space="preserve">De cijfers hebben betrekking op </w:t>
            </w:r>
            <w:r w:rsidR="00126D1E" w:rsidRPr="000F1685">
              <w:rPr>
                <w:rFonts w:ascii="Arial" w:hAnsi="Arial" w:cs="Arial"/>
                <w:sz w:val="22"/>
                <w:szCs w:val="22"/>
                <w:lang w:val="nl-NL"/>
              </w:rPr>
              <w:t>de situatie op 31/01/2023.</w:t>
            </w:r>
          </w:p>
          <w:p w14:paraId="7B17F141" w14:textId="608F49EA" w:rsidR="00635A0C" w:rsidRPr="000F1685" w:rsidRDefault="00635A0C" w:rsidP="00126D1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  <w:p w14:paraId="4282D7FE" w14:textId="77777777" w:rsidR="00C4556F" w:rsidRPr="000F1685" w:rsidRDefault="00635A0C" w:rsidP="00126D1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0F1685">
              <w:rPr>
                <w:rFonts w:ascii="Arial" w:hAnsi="Arial" w:cs="Arial"/>
                <w:sz w:val="22"/>
                <w:szCs w:val="22"/>
                <w:lang w:val="nl-NL"/>
              </w:rPr>
              <w:t>6.</w:t>
            </w:r>
            <w:r w:rsidR="00E433AA" w:rsidRPr="000F1685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</w:p>
          <w:p w14:paraId="74138739" w14:textId="2BABD330" w:rsidR="00635A0C" w:rsidRPr="000F1685" w:rsidRDefault="00E433AA" w:rsidP="00126D1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0F1685">
              <w:rPr>
                <w:rFonts w:ascii="Arial" w:hAnsi="Arial" w:cs="Arial"/>
                <w:sz w:val="22"/>
                <w:szCs w:val="22"/>
                <w:lang w:val="nl-NL"/>
              </w:rPr>
              <w:t xml:space="preserve">In juni 2022 heeft de Ministerraad beslist om de vervanging van de medewerkers die de Federale </w:t>
            </w:r>
            <w:r w:rsidR="004A7342" w:rsidRPr="000F1685">
              <w:rPr>
                <w:rFonts w:ascii="Arial" w:hAnsi="Arial" w:cs="Arial"/>
                <w:sz w:val="22"/>
                <w:szCs w:val="22"/>
                <w:lang w:val="nl-NL"/>
              </w:rPr>
              <w:lastRenderedPageBreak/>
              <w:t>G</w:t>
            </w:r>
            <w:r w:rsidRPr="000F1685">
              <w:rPr>
                <w:rFonts w:ascii="Arial" w:hAnsi="Arial" w:cs="Arial"/>
                <w:sz w:val="22"/>
                <w:szCs w:val="22"/>
                <w:lang w:val="nl-NL"/>
              </w:rPr>
              <w:t>ere</w:t>
            </w:r>
            <w:r w:rsidR="00C4733A" w:rsidRPr="000F1685">
              <w:rPr>
                <w:rFonts w:ascii="Arial" w:hAnsi="Arial" w:cs="Arial"/>
                <w:sz w:val="22"/>
                <w:szCs w:val="22"/>
                <w:lang w:val="nl-NL"/>
              </w:rPr>
              <w:t xml:space="preserve">chtelijke </w:t>
            </w:r>
            <w:r w:rsidR="004A7342" w:rsidRPr="000F1685">
              <w:rPr>
                <w:rFonts w:ascii="Arial" w:hAnsi="Arial" w:cs="Arial"/>
                <w:sz w:val="22"/>
                <w:szCs w:val="22"/>
                <w:lang w:val="nl-NL"/>
              </w:rPr>
              <w:t>P</w:t>
            </w:r>
            <w:r w:rsidR="00C4733A" w:rsidRPr="000F1685">
              <w:rPr>
                <w:rFonts w:ascii="Arial" w:hAnsi="Arial" w:cs="Arial"/>
                <w:sz w:val="22"/>
                <w:szCs w:val="22"/>
                <w:lang w:val="nl-NL"/>
              </w:rPr>
              <w:t xml:space="preserve">olitie verlaten, </w:t>
            </w:r>
            <w:r w:rsidRPr="000F1685">
              <w:rPr>
                <w:rFonts w:ascii="Arial" w:hAnsi="Arial" w:cs="Arial"/>
                <w:sz w:val="22"/>
                <w:szCs w:val="22"/>
                <w:lang w:val="nl-NL"/>
              </w:rPr>
              <w:t xml:space="preserve">te </w:t>
            </w:r>
            <w:r w:rsidR="004A7342" w:rsidRPr="000F1685">
              <w:rPr>
                <w:rFonts w:ascii="Arial" w:hAnsi="Arial" w:cs="Arial"/>
                <w:sz w:val="22"/>
                <w:szCs w:val="22"/>
                <w:lang w:val="nl-NL"/>
              </w:rPr>
              <w:t>garanderen</w:t>
            </w:r>
            <w:r w:rsidRPr="000F1685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r w:rsidR="00C4733A" w:rsidRPr="000F1685">
              <w:rPr>
                <w:rFonts w:ascii="Arial" w:hAnsi="Arial" w:cs="Arial"/>
                <w:sz w:val="22"/>
                <w:szCs w:val="22"/>
                <w:lang w:val="nl-NL"/>
              </w:rPr>
              <w:t xml:space="preserve">en de </w:t>
            </w:r>
            <w:r w:rsidR="004A7342" w:rsidRPr="000F1685">
              <w:rPr>
                <w:rFonts w:ascii="Arial" w:hAnsi="Arial" w:cs="Arial"/>
                <w:sz w:val="22"/>
                <w:szCs w:val="22"/>
                <w:lang w:val="nl-NL"/>
              </w:rPr>
              <w:t>totale</w:t>
            </w:r>
            <w:r w:rsidR="00C4733A" w:rsidRPr="000F1685">
              <w:rPr>
                <w:rFonts w:ascii="Arial" w:hAnsi="Arial" w:cs="Arial"/>
                <w:sz w:val="22"/>
                <w:szCs w:val="22"/>
                <w:lang w:val="nl-NL"/>
              </w:rPr>
              <w:t xml:space="preserve"> capaciteit </w:t>
            </w:r>
            <w:r w:rsidR="004A7342" w:rsidRPr="000F1685">
              <w:rPr>
                <w:rFonts w:ascii="Arial" w:hAnsi="Arial" w:cs="Arial"/>
                <w:sz w:val="22"/>
                <w:szCs w:val="22"/>
                <w:lang w:val="nl-NL"/>
              </w:rPr>
              <w:t xml:space="preserve">tegen eind 2024 te verhogen </w:t>
            </w:r>
            <w:r w:rsidR="00C4733A" w:rsidRPr="000F1685">
              <w:rPr>
                <w:rFonts w:ascii="Arial" w:hAnsi="Arial" w:cs="Arial"/>
                <w:sz w:val="22"/>
                <w:szCs w:val="22"/>
                <w:lang w:val="nl-NL"/>
              </w:rPr>
              <w:t xml:space="preserve">met 195 onderzoekers. Deze </w:t>
            </w:r>
            <w:r w:rsidR="004A7342" w:rsidRPr="000F1685">
              <w:rPr>
                <w:rFonts w:ascii="Arial" w:hAnsi="Arial" w:cs="Arial"/>
                <w:sz w:val="22"/>
                <w:szCs w:val="22"/>
                <w:lang w:val="nl-NL"/>
              </w:rPr>
              <w:t xml:space="preserve">onderzoekers </w:t>
            </w:r>
            <w:r w:rsidR="00C4733A" w:rsidRPr="000F1685">
              <w:rPr>
                <w:rFonts w:ascii="Arial" w:hAnsi="Arial" w:cs="Arial"/>
                <w:sz w:val="22"/>
                <w:szCs w:val="22"/>
                <w:lang w:val="nl-NL"/>
              </w:rPr>
              <w:t xml:space="preserve">zullen aan de gedeconcentreerde directies </w:t>
            </w:r>
            <w:r w:rsidR="002E42B0">
              <w:rPr>
                <w:rFonts w:ascii="Arial" w:hAnsi="Arial" w:cs="Arial"/>
                <w:sz w:val="22"/>
                <w:szCs w:val="22"/>
                <w:lang w:val="nl-NL"/>
              </w:rPr>
              <w:t xml:space="preserve">worden </w:t>
            </w:r>
            <w:r w:rsidR="00C4733A" w:rsidRPr="000F1685">
              <w:rPr>
                <w:rFonts w:ascii="Arial" w:hAnsi="Arial" w:cs="Arial"/>
                <w:sz w:val="22"/>
                <w:szCs w:val="22"/>
                <w:lang w:val="nl-NL"/>
              </w:rPr>
              <w:t xml:space="preserve">toegekend. </w:t>
            </w:r>
            <w:r w:rsidR="008139AA" w:rsidRPr="000F1685">
              <w:rPr>
                <w:rFonts w:ascii="Arial" w:hAnsi="Arial" w:cs="Arial"/>
                <w:sz w:val="22"/>
                <w:szCs w:val="22"/>
                <w:lang w:val="nl-NL"/>
              </w:rPr>
              <w:t>Deze aanwervingen z</w:t>
            </w:r>
            <w:r w:rsidR="008B303D">
              <w:rPr>
                <w:rFonts w:ascii="Arial" w:hAnsi="Arial" w:cs="Arial"/>
                <w:sz w:val="22"/>
                <w:szCs w:val="22"/>
                <w:lang w:val="nl-NL"/>
              </w:rPr>
              <w:t>ullen</w:t>
            </w:r>
            <w:r w:rsidR="008139AA" w:rsidRPr="000F1685">
              <w:rPr>
                <w:rFonts w:ascii="Arial" w:hAnsi="Arial" w:cs="Arial"/>
                <w:sz w:val="22"/>
                <w:szCs w:val="22"/>
                <w:lang w:val="nl-NL"/>
              </w:rPr>
              <w:t xml:space="preserve"> de capaciteit van de meest deficitaire directies verbeteren</w:t>
            </w:r>
            <w:r w:rsidR="00C4733A" w:rsidRPr="000F1685">
              <w:rPr>
                <w:rFonts w:ascii="Arial" w:hAnsi="Arial" w:cs="Arial"/>
                <w:sz w:val="22"/>
                <w:szCs w:val="22"/>
                <w:lang w:val="nl-NL"/>
              </w:rPr>
              <w:t xml:space="preserve">, </w:t>
            </w:r>
            <w:r w:rsidR="004A7342" w:rsidRPr="000F1685">
              <w:rPr>
                <w:rFonts w:ascii="Arial" w:hAnsi="Arial" w:cs="Arial"/>
                <w:sz w:val="22"/>
                <w:szCs w:val="22"/>
                <w:lang w:val="nl-NL"/>
              </w:rPr>
              <w:t>zodat</w:t>
            </w:r>
            <w:r w:rsidR="00C4733A" w:rsidRPr="000F1685">
              <w:rPr>
                <w:rFonts w:ascii="Arial" w:hAnsi="Arial" w:cs="Arial"/>
                <w:sz w:val="22"/>
                <w:szCs w:val="22"/>
                <w:lang w:val="nl-NL"/>
              </w:rPr>
              <w:t xml:space="preserve"> hun capaciteit minstens 90% van de organieke tabel</w:t>
            </w:r>
            <w:r w:rsidR="004A7342" w:rsidRPr="000F1685">
              <w:rPr>
                <w:rFonts w:ascii="Arial" w:hAnsi="Arial" w:cs="Arial"/>
                <w:sz w:val="22"/>
                <w:szCs w:val="22"/>
                <w:lang w:val="nl-NL"/>
              </w:rPr>
              <w:t xml:space="preserve"> bedraagt</w:t>
            </w:r>
            <w:r w:rsidR="00C4733A" w:rsidRPr="000F1685">
              <w:rPr>
                <w:rFonts w:ascii="Arial" w:hAnsi="Arial" w:cs="Arial"/>
                <w:sz w:val="22"/>
                <w:szCs w:val="22"/>
                <w:lang w:val="nl-NL"/>
              </w:rPr>
              <w:t xml:space="preserve">, en zelfs 95% voor de vijf </w:t>
            </w:r>
            <w:proofErr w:type="spellStart"/>
            <w:r w:rsidR="00C4733A" w:rsidRPr="000F1685">
              <w:rPr>
                <w:rFonts w:ascii="Arial" w:hAnsi="Arial" w:cs="Arial"/>
                <w:sz w:val="22"/>
                <w:szCs w:val="22"/>
                <w:lang w:val="nl-NL"/>
              </w:rPr>
              <w:t>FGP</w:t>
            </w:r>
            <w:r w:rsidR="008B303D">
              <w:rPr>
                <w:rFonts w:ascii="Arial" w:hAnsi="Arial" w:cs="Arial"/>
                <w:sz w:val="22"/>
                <w:szCs w:val="22"/>
                <w:lang w:val="nl-NL"/>
              </w:rPr>
              <w:t>’</w:t>
            </w:r>
            <w:r w:rsidR="004A7342" w:rsidRPr="000F1685">
              <w:rPr>
                <w:rFonts w:ascii="Arial" w:hAnsi="Arial" w:cs="Arial"/>
                <w:sz w:val="22"/>
                <w:szCs w:val="22"/>
                <w:lang w:val="nl-NL"/>
              </w:rPr>
              <w:t>s</w:t>
            </w:r>
            <w:proofErr w:type="spellEnd"/>
            <w:r w:rsidR="00C4733A" w:rsidRPr="000F1685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r w:rsidR="008B303D">
              <w:rPr>
                <w:rFonts w:ascii="Arial" w:hAnsi="Arial" w:cs="Arial"/>
                <w:sz w:val="22"/>
                <w:szCs w:val="22"/>
                <w:lang w:val="nl-NL"/>
              </w:rPr>
              <w:t xml:space="preserve">respectievelijk in de arrondissementen met een </w:t>
            </w:r>
            <w:r w:rsidR="00C4733A" w:rsidRPr="000F1685">
              <w:rPr>
                <w:rFonts w:ascii="Arial" w:hAnsi="Arial" w:cs="Arial"/>
                <w:sz w:val="22"/>
                <w:szCs w:val="22"/>
                <w:lang w:val="nl-NL"/>
              </w:rPr>
              <w:t xml:space="preserve">Hof van beroep. De </w:t>
            </w:r>
            <w:r w:rsidR="008139AA" w:rsidRPr="000F1685">
              <w:rPr>
                <w:rFonts w:ascii="Arial" w:hAnsi="Arial" w:cs="Arial"/>
                <w:sz w:val="22"/>
                <w:szCs w:val="22"/>
                <w:lang w:val="nl-NL"/>
              </w:rPr>
              <w:t>aanwervingen</w:t>
            </w:r>
            <w:r w:rsidR="00C4733A" w:rsidRPr="000F1685">
              <w:rPr>
                <w:rFonts w:ascii="Arial" w:hAnsi="Arial" w:cs="Arial"/>
                <w:sz w:val="22"/>
                <w:szCs w:val="22"/>
                <w:lang w:val="nl-NL"/>
              </w:rPr>
              <w:t xml:space="preserve"> zijn lopend</w:t>
            </w:r>
            <w:r w:rsidR="002E42B0">
              <w:rPr>
                <w:rFonts w:ascii="Arial" w:hAnsi="Arial" w:cs="Arial"/>
                <w:sz w:val="22"/>
                <w:szCs w:val="22"/>
                <w:lang w:val="nl-NL"/>
              </w:rPr>
              <w:t>e</w:t>
            </w:r>
            <w:r w:rsidR="00C4733A" w:rsidRPr="000F1685">
              <w:rPr>
                <w:rFonts w:ascii="Arial" w:hAnsi="Arial" w:cs="Arial"/>
                <w:sz w:val="22"/>
                <w:szCs w:val="22"/>
                <w:lang w:val="nl-NL"/>
              </w:rPr>
              <w:t>.</w:t>
            </w:r>
          </w:p>
          <w:p w14:paraId="653AAA36" w14:textId="77777777" w:rsidR="00126D1E" w:rsidRPr="000F1685" w:rsidRDefault="00126D1E" w:rsidP="00126D1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  <w:p w14:paraId="5456DB66" w14:textId="77777777" w:rsidR="00C4556F" w:rsidRPr="000F1685" w:rsidRDefault="00126D1E" w:rsidP="00126D1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0F1685">
              <w:rPr>
                <w:rFonts w:ascii="Arial" w:hAnsi="Arial" w:cs="Arial"/>
                <w:sz w:val="22"/>
                <w:szCs w:val="22"/>
                <w:lang w:val="nl-NL"/>
              </w:rPr>
              <w:t xml:space="preserve">7. </w:t>
            </w:r>
          </w:p>
          <w:p w14:paraId="004BEE5E" w14:textId="59902054" w:rsidR="00126D1E" w:rsidRPr="000F1685" w:rsidRDefault="00126D1E" w:rsidP="00126D1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0F1685">
              <w:rPr>
                <w:rFonts w:ascii="Arial" w:hAnsi="Arial" w:cs="Arial"/>
                <w:sz w:val="22"/>
                <w:szCs w:val="22"/>
                <w:lang w:val="nl-NL"/>
              </w:rPr>
              <w:t>Tussen januari 2022 en januari 2023</w:t>
            </w:r>
            <w:r w:rsidR="008B303D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r w:rsidRPr="000F1685">
              <w:rPr>
                <w:rFonts w:ascii="Arial" w:hAnsi="Arial" w:cs="Arial"/>
                <w:sz w:val="22"/>
                <w:szCs w:val="22"/>
                <w:lang w:val="nl-NL"/>
              </w:rPr>
              <w:t xml:space="preserve">verlieten 293 personeelsleden DGJ. Het betreft definitieve vertrekken (pensioen, ontslag), maar ook alle </w:t>
            </w:r>
            <w:r w:rsidR="002E42B0">
              <w:rPr>
                <w:rFonts w:ascii="Arial" w:hAnsi="Arial" w:cs="Arial"/>
                <w:sz w:val="22"/>
                <w:szCs w:val="22"/>
                <w:lang w:val="nl-NL"/>
              </w:rPr>
              <w:t xml:space="preserve">vertrekkende </w:t>
            </w:r>
            <w:r w:rsidRPr="000F1685">
              <w:rPr>
                <w:rFonts w:ascii="Arial" w:hAnsi="Arial" w:cs="Arial"/>
                <w:sz w:val="22"/>
                <w:szCs w:val="22"/>
                <w:lang w:val="nl-NL"/>
              </w:rPr>
              <w:t>bewegingen, als gevolg van onder meer NAVAP, interne mobiliteit (</w:t>
            </w:r>
            <w:r w:rsidR="008B303D">
              <w:rPr>
                <w:rFonts w:ascii="Arial" w:hAnsi="Arial" w:cs="Arial"/>
                <w:sz w:val="22"/>
                <w:szCs w:val="22"/>
                <w:lang w:val="nl-NL"/>
              </w:rPr>
              <w:t>intern Federale Politie en van Federale Politie naar lokale politiezones</w:t>
            </w:r>
            <w:r w:rsidRPr="000F1685">
              <w:rPr>
                <w:rFonts w:ascii="Arial" w:hAnsi="Arial" w:cs="Arial"/>
                <w:sz w:val="22"/>
                <w:szCs w:val="22"/>
                <w:lang w:val="nl-NL"/>
              </w:rPr>
              <w:t xml:space="preserve">) en detacheringen. </w:t>
            </w:r>
          </w:p>
          <w:p w14:paraId="0A08CC39" w14:textId="56201375" w:rsidR="00635A0C" w:rsidRPr="000F1685" w:rsidRDefault="00635A0C" w:rsidP="00126D1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  <w:p w14:paraId="27975F00" w14:textId="77777777" w:rsidR="00635A0C" w:rsidRDefault="00635A0C" w:rsidP="00126D1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  <w:p w14:paraId="7BD2CED0" w14:textId="77777777" w:rsidR="001536EF" w:rsidRPr="000F1685" w:rsidRDefault="001536EF" w:rsidP="00126D1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  <w:p w14:paraId="4908CBCC" w14:textId="77777777" w:rsidR="00C4556F" w:rsidRPr="000F1685" w:rsidRDefault="00126D1E" w:rsidP="00126D1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0F1685">
              <w:rPr>
                <w:rFonts w:ascii="Arial" w:hAnsi="Arial" w:cs="Arial"/>
                <w:sz w:val="22"/>
                <w:szCs w:val="22"/>
                <w:lang w:val="nl-NL"/>
              </w:rPr>
              <w:t>8.</w:t>
            </w:r>
          </w:p>
          <w:p w14:paraId="64520FE9" w14:textId="567EA52D" w:rsidR="00126D1E" w:rsidRPr="000F1685" w:rsidRDefault="00126D1E" w:rsidP="00126D1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0F1685">
              <w:rPr>
                <w:rFonts w:ascii="Arial" w:hAnsi="Arial" w:cs="Arial"/>
                <w:sz w:val="22"/>
                <w:szCs w:val="22"/>
                <w:lang w:val="nl-NL"/>
              </w:rPr>
              <w:t>Tussen januari 2022 en januari 2023</w:t>
            </w:r>
            <w:r w:rsidR="00C4556F" w:rsidRPr="000F1685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r w:rsidRPr="000F1685">
              <w:rPr>
                <w:rFonts w:ascii="Arial" w:hAnsi="Arial" w:cs="Arial"/>
                <w:sz w:val="22"/>
                <w:szCs w:val="22"/>
                <w:lang w:val="nl-NL"/>
              </w:rPr>
              <w:t xml:space="preserve">vervoegden 313 personeelsleden DGJ. Het betreft nieuwe aanwervingen, maar ook alle </w:t>
            </w:r>
            <w:r w:rsidR="002E42B0">
              <w:rPr>
                <w:rFonts w:ascii="Arial" w:hAnsi="Arial" w:cs="Arial"/>
                <w:sz w:val="22"/>
                <w:szCs w:val="22"/>
                <w:lang w:val="nl-NL"/>
              </w:rPr>
              <w:t xml:space="preserve">inkomende </w:t>
            </w:r>
            <w:r w:rsidRPr="000F1685">
              <w:rPr>
                <w:rFonts w:ascii="Arial" w:hAnsi="Arial" w:cs="Arial"/>
                <w:sz w:val="22"/>
                <w:szCs w:val="22"/>
                <w:lang w:val="nl-NL"/>
              </w:rPr>
              <w:t>bewegingen,</w:t>
            </w:r>
            <w:r w:rsidR="00C4556F" w:rsidRPr="000F1685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r w:rsidRPr="000F1685">
              <w:rPr>
                <w:rFonts w:ascii="Arial" w:hAnsi="Arial" w:cs="Arial"/>
                <w:sz w:val="22"/>
                <w:szCs w:val="22"/>
                <w:lang w:val="nl-NL"/>
              </w:rPr>
              <w:t xml:space="preserve">als gevolg van onder meer interne mobiliteit </w:t>
            </w:r>
            <w:r w:rsidR="002E42B0">
              <w:rPr>
                <w:rFonts w:ascii="Arial" w:hAnsi="Arial" w:cs="Arial"/>
                <w:sz w:val="22"/>
                <w:szCs w:val="22"/>
                <w:lang w:val="nl-NL"/>
              </w:rPr>
              <w:t xml:space="preserve">(intern Federale Politie of van de Federale Politie naar lokale politiezones) </w:t>
            </w:r>
            <w:r w:rsidRPr="000F1685">
              <w:rPr>
                <w:rFonts w:ascii="Arial" w:hAnsi="Arial" w:cs="Arial"/>
                <w:sz w:val="22"/>
                <w:szCs w:val="22"/>
                <w:lang w:val="nl-NL"/>
              </w:rPr>
              <w:t xml:space="preserve">en nieuwe detacheringen. </w:t>
            </w:r>
          </w:p>
          <w:p w14:paraId="686E757F" w14:textId="48CE6A7D" w:rsidR="00635A0C" w:rsidRPr="000F1685" w:rsidRDefault="00635A0C" w:rsidP="00126D1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  <w:p w14:paraId="31D8250A" w14:textId="77777777" w:rsidR="00EF0BB5" w:rsidRPr="000F1685" w:rsidRDefault="00EF0BB5" w:rsidP="00126D1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  <w:p w14:paraId="79871F07" w14:textId="77777777" w:rsidR="00C4556F" w:rsidRPr="000F1685" w:rsidRDefault="00635A0C" w:rsidP="00126D1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0F1685">
              <w:rPr>
                <w:rFonts w:ascii="Arial" w:hAnsi="Arial" w:cs="Arial"/>
                <w:sz w:val="22"/>
                <w:szCs w:val="22"/>
                <w:lang w:val="nl-NL"/>
              </w:rPr>
              <w:t>9.</w:t>
            </w:r>
            <w:r w:rsidR="00C4733A" w:rsidRPr="000F1685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</w:p>
          <w:p w14:paraId="0C2A4A3D" w14:textId="5CBB16DA" w:rsidR="00635A0C" w:rsidRPr="000F1685" w:rsidRDefault="008B303D" w:rsidP="00126D1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  <w:lang w:val="nl-NL"/>
              </w:rPr>
              <w:t>In</w:t>
            </w:r>
            <w:r w:rsidR="00C4733A" w:rsidRPr="000F1685">
              <w:rPr>
                <w:rFonts w:ascii="Arial" w:hAnsi="Arial" w:cs="Arial"/>
                <w:sz w:val="22"/>
                <w:szCs w:val="22"/>
                <w:lang w:val="nl-NL"/>
              </w:rPr>
              <w:t xml:space="preserve"> 2023 </w:t>
            </w:r>
            <w:r w:rsidR="008139AA" w:rsidRPr="000F1685">
              <w:rPr>
                <w:rFonts w:ascii="Arial" w:hAnsi="Arial" w:cs="Arial"/>
                <w:sz w:val="22"/>
                <w:szCs w:val="22"/>
                <w:lang w:val="nl-NL"/>
              </w:rPr>
              <w:t>wordt</w:t>
            </w:r>
            <w:r w:rsidR="00C4733A" w:rsidRPr="000F1685">
              <w:rPr>
                <w:rFonts w:ascii="Arial" w:hAnsi="Arial" w:cs="Arial"/>
                <w:sz w:val="22"/>
                <w:szCs w:val="22"/>
                <w:lang w:val="nl-NL"/>
              </w:rPr>
              <w:t xml:space="preserve"> de vervanging van de vertrekke</w:t>
            </w:r>
            <w:r w:rsidR="008139AA" w:rsidRPr="000F1685">
              <w:rPr>
                <w:rFonts w:ascii="Arial" w:hAnsi="Arial" w:cs="Arial"/>
                <w:sz w:val="22"/>
                <w:szCs w:val="22"/>
                <w:lang w:val="nl-NL"/>
              </w:rPr>
              <w:t>rs</w:t>
            </w:r>
            <w:r w:rsidR="00C4733A" w:rsidRPr="000F1685">
              <w:rPr>
                <w:rFonts w:ascii="Arial" w:hAnsi="Arial" w:cs="Arial"/>
                <w:sz w:val="22"/>
                <w:szCs w:val="22"/>
                <w:lang w:val="nl-NL"/>
              </w:rPr>
              <w:t xml:space="preserve"> (ongeveer 250/jaar) en de bijkomende aanwerving van 110 </w:t>
            </w:r>
            <w:r w:rsidR="008139AA" w:rsidRPr="000F1685">
              <w:rPr>
                <w:rFonts w:ascii="Arial" w:hAnsi="Arial" w:cs="Arial"/>
                <w:sz w:val="22"/>
                <w:szCs w:val="22"/>
                <w:lang w:val="nl-NL"/>
              </w:rPr>
              <w:t>personeelsleden verwacht</w:t>
            </w:r>
            <w:r w:rsidR="00C4733A" w:rsidRPr="000F1685">
              <w:rPr>
                <w:rFonts w:ascii="Arial" w:hAnsi="Arial" w:cs="Arial"/>
                <w:sz w:val="22"/>
                <w:szCs w:val="22"/>
                <w:lang w:val="nl-NL"/>
              </w:rPr>
              <w:t>. De</w:t>
            </w:r>
            <w:r w:rsidR="008139AA" w:rsidRPr="000F1685">
              <w:rPr>
                <w:rFonts w:ascii="Arial" w:hAnsi="Arial" w:cs="Arial"/>
                <w:sz w:val="22"/>
                <w:szCs w:val="22"/>
                <w:lang w:val="nl-NL"/>
              </w:rPr>
              <w:t>ze</w:t>
            </w:r>
            <w:r w:rsidR="00C4733A" w:rsidRPr="000F1685">
              <w:rPr>
                <w:rFonts w:ascii="Arial" w:hAnsi="Arial" w:cs="Arial"/>
                <w:sz w:val="22"/>
                <w:szCs w:val="22"/>
                <w:lang w:val="nl-NL"/>
              </w:rPr>
              <w:t xml:space="preserve"> doelstellingen zullen natuurlijk afhangen van de</w:t>
            </w:r>
            <w:r>
              <w:rPr>
                <w:rFonts w:ascii="Arial" w:hAnsi="Arial" w:cs="Arial"/>
                <w:sz w:val="22"/>
                <w:szCs w:val="22"/>
                <w:lang w:val="nl-NL"/>
              </w:rPr>
              <w:t xml:space="preserve"> actuele</w:t>
            </w:r>
            <w:r w:rsidR="00C4733A" w:rsidRPr="000F1685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nl-NL"/>
              </w:rPr>
              <w:t>toestand</w:t>
            </w:r>
            <w:r w:rsidR="00C4733A" w:rsidRPr="000F1685">
              <w:rPr>
                <w:rFonts w:ascii="Arial" w:hAnsi="Arial" w:cs="Arial"/>
                <w:sz w:val="22"/>
                <w:szCs w:val="22"/>
                <w:lang w:val="nl-NL"/>
              </w:rPr>
              <w:t xml:space="preserve"> van de interne en externe arbeidsmarkt. </w:t>
            </w:r>
          </w:p>
          <w:p w14:paraId="49E194D6" w14:textId="4F866A58" w:rsidR="00126D1E" w:rsidRPr="000F1685" w:rsidRDefault="00126D1E" w:rsidP="00126D1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126D1E" w:rsidRPr="001536EF" w14:paraId="72DDA51C" w14:textId="77777777" w:rsidTr="0034655D">
        <w:tc>
          <w:tcPr>
            <w:tcW w:w="4653" w:type="dxa"/>
          </w:tcPr>
          <w:p w14:paraId="796BEC4D" w14:textId="77777777" w:rsidR="0002787F" w:rsidRPr="000F1685" w:rsidRDefault="00126D1E" w:rsidP="00126D1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0F1685">
              <w:rPr>
                <w:rFonts w:ascii="Arial" w:hAnsi="Arial" w:cs="Arial"/>
                <w:sz w:val="22"/>
                <w:szCs w:val="22"/>
                <w:lang w:val="fr-BE"/>
              </w:rPr>
              <w:lastRenderedPageBreak/>
              <w:t xml:space="preserve">10. </w:t>
            </w:r>
          </w:p>
          <w:p w14:paraId="5D052A01" w14:textId="77777777" w:rsidR="00126D1E" w:rsidRPr="000F1685" w:rsidRDefault="00126D1E" w:rsidP="00126D1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0F1685">
              <w:rPr>
                <w:rFonts w:ascii="Arial" w:hAnsi="Arial" w:cs="Arial"/>
                <w:sz w:val="22"/>
                <w:szCs w:val="22"/>
                <w:lang w:val="fr-BE"/>
              </w:rPr>
              <w:t xml:space="preserve">Le coût total annuel des frais de personnel pour la </w:t>
            </w:r>
            <w:r w:rsidR="00C23549" w:rsidRPr="000F1685">
              <w:rPr>
                <w:rFonts w:ascii="Arial" w:hAnsi="Arial" w:cs="Arial"/>
                <w:sz w:val="22"/>
                <w:szCs w:val="22"/>
                <w:lang w:val="fr-BE"/>
              </w:rPr>
              <w:t>DGJ</w:t>
            </w:r>
            <w:r w:rsidRPr="000F1685">
              <w:rPr>
                <w:rFonts w:ascii="Arial" w:hAnsi="Arial" w:cs="Arial"/>
                <w:sz w:val="22"/>
                <w:szCs w:val="22"/>
                <w:lang w:val="fr-BE"/>
              </w:rPr>
              <w:t>, s’élève à 342.650.707 euros pour l’année 2022. Quant à 2023, le budget annuel des frais de personnel est estimé à 346.254.000 euros.</w:t>
            </w:r>
          </w:p>
          <w:p w14:paraId="3E491189" w14:textId="4A7C920A" w:rsidR="00EF0BB5" w:rsidRPr="000F1685" w:rsidRDefault="00EF0BB5" w:rsidP="00126D1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4917" w:type="dxa"/>
          </w:tcPr>
          <w:p w14:paraId="1C85A121" w14:textId="77777777" w:rsidR="0002787F" w:rsidRPr="000F1685" w:rsidRDefault="00126D1E" w:rsidP="00126D1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0F1685">
              <w:rPr>
                <w:rFonts w:ascii="Arial" w:hAnsi="Arial" w:cs="Arial"/>
                <w:sz w:val="22"/>
                <w:szCs w:val="22"/>
                <w:lang w:val="nl-NL"/>
              </w:rPr>
              <w:t xml:space="preserve">10. </w:t>
            </w:r>
          </w:p>
          <w:p w14:paraId="47E19605" w14:textId="4F513628" w:rsidR="00126D1E" w:rsidRPr="000F1685" w:rsidRDefault="00126D1E" w:rsidP="00126D1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0F1685">
              <w:rPr>
                <w:rFonts w:ascii="Arial" w:hAnsi="Arial" w:cs="Arial"/>
                <w:sz w:val="22"/>
                <w:szCs w:val="22"/>
                <w:lang w:val="nl-NL"/>
              </w:rPr>
              <w:t>De totale jaarlijkse personeelskost van de</w:t>
            </w:r>
            <w:r w:rsidR="00C23549" w:rsidRPr="000F1685">
              <w:rPr>
                <w:rFonts w:ascii="Arial" w:hAnsi="Arial" w:cs="Arial"/>
                <w:sz w:val="22"/>
                <w:szCs w:val="22"/>
                <w:lang w:val="nl-NL"/>
              </w:rPr>
              <w:t xml:space="preserve"> DGJ</w:t>
            </w:r>
            <w:r w:rsidRPr="000F1685">
              <w:rPr>
                <w:rFonts w:ascii="Arial" w:hAnsi="Arial" w:cs="Arial"/>
                <w:sz w:val="22"/>
                <w:szCs w:val="22"/>
                <w:lang w:val="nl-NL"/>
              </w:rPr>
              <w:t>, bedraagt 342.650.707 euro voor het jaar 2022. Voor het jaar 2023 zijn de totale jaarlijkse personeelskredieten geraamd op 346.254.000 euro.</w:t>
            </w:r>
          </w:p>
          <w:p w14:paraId="1432907C" w14:textId="2B4D19C0" w:rsidR="00126D1E" w:rsidRPr="000F1685" w:rsidRDefault="00126D1E" w:rsidP="00126D1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126D1E" w:rsidRPr="00126D1E" w14:paraId="1796AD64" w14:textId="77777777" w:rsidTr="0034655D">
        <w:tc>
          <w:tcPr>
            <w:tcW w:w="4653" w:type="dxa"/>
          </w:tcPr>
          <w:p w14:paraId="2FB2AC8D" w14:textId="77777777" w:rsidR="0002787F" w:rsidRPr="000F1685" w:rsidRDefault="00126D1E" w:rsidP="00126D1E">
            <w:pPr>
              <w:spacing w:line="276" w:lineRule="auto"/>
              <w:jc w:val="both"/>
              <w:rPr>
                <w:rFonts w:ascii="Arial" w:hAnsi="Arial"/>
                <w:sz w:val="22"/>
                <w:lang w:val="fr-BE"/>
              </w:rPr>
            </w:pPr>
            <w:r w:rsidRPr="000F1685">
              <w:rPr>
                <w:rFonts w:ascii="Arial" w:hAnsi="Arial"/>
                <w:sz w:val="22"/>
                <w:lang w:val="fr-BE"/>
              </w:rPr>
              <w:lastRenderedPageBreak/>
              <w:t>11.</w:t>
            </w:r>
          </w:p>
          <w:p w14:paraId="409FA7D5" w14:textId="79976D87" w:rsidR="00126D1E" w:rsidRPr="000F1685" w:rsidRDefault="00126D1E" w:rsidP="00126D1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0F1685">
              <w:rPr>
                <w:rFonts w:ascii="Arial" w:hAnsi="Arial"/>
                <w:sz w:val="22"/>
                <w:lang w:val="fr-BE"/>
              </w:rPr>
              <w:t>Le tableau ci-dessous présente l'évolution de l'absence moyenne pour cause de maladie de 2018 à 2022. Il s'agit du chiffre pour la Direction générale et toutes les directions sous-jacentes. Il ne comprend pas les absences pour cause d'accident</w:t>
            </w:r>
            <w:r w:rsidR="00C23549" w:rsidRPr="000F1685">
              <w:rPr>
                <w:rFonts w:ascii="Arial" w:hAnsi="Arial"/>
                <w:sz w:val="22"/>
                <w:lang w:val="fr-BE"/>
              </w:rPr>
              <w:t xml:space="preserve"> du travail</w:t>
            </w:r>
            <w:r w:rsidRPr="000F1685">
              <w:rPr>
                <w:rFonts w:ascii="Arial" w:hAnsi="Arial"/>
                <w:sz w:val="22"/>
                <w:lang w:val="fr-BE"/>
              </w:rPr>
              <w:t xml:space="preserve"> et de grossesse.</w:t>
            </w:r>
          </w:p>
          <w:p w14:paraId="67318F83" w14:textId="77777777" w:rsidR="00126D1E" w:rsidRPr="000F1685" w:rsidRDefault="00126D1E" w:rsidP="00126D1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4917" w:type="dxa"/>
          </w:tcPr>
          <w:p w14:paraId="1AD20DF3" w14:textId="77777777" w:rsidR="0002787F" w:rsidRPr="000F1685" w:rsidRDefault="00126D1E" w:rsidP="00126D1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0F1685">
              <w:rPr>
                <w:rFonts w:ascii="Arial" w:hAnsi="Arial" w:cs="Arial"/>
                <w:sz w:val="22"/>
                <w:szCs w:val="22"/>
                <w:lang w:val="nl-NL"/>
              </w:rPr>
              <w:t xml:space="preserve">11. </w:t>
            </w:r>
          </w:p>
          <w:p w14:paraId="3E8FD78B" w14:textId="38511CFE" w:rsidR="00126D1E" w:rsidRPr="000F1685" w:rsidRDefault="00126D1E" w:rsidP="00126D1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0F1685">
              <w:rPr>
                <w:rFonts w:ascii="Arial" w:hAnsi="Arial" w:cs="Arial"/>
                <w:sz w:val="22"/>
                <w:szCs w:val="22"/>
                <w:lang w:val="nl-NL"/>
              </w:rPr>
              <w:t xml:space="preserve">Onderstaande tabel geeft de evolutie weer van de gemiddelde afwezigheid wegens ziekte van 2018 tot en met 2022. Dit is het cijfer voor de Algemene Directie en alle onderliggende directies. </w:t>
            </w:r>
            <w:r w:rsidRPr="000F1685">
              <w:rPr>
                <w:rFonts w:ascii="Arial" w:hAnsi="Arial" w:cs="Arial"/>
                <w:sz w:val="22"/>
                <w:szCs w:val="22"/>
                <w:lang w:val="nl-BE"/>
              </w:rPr>
              <w:t xml:space="preserve">Afwezigheden wegens </w:t>
            </w:r>
            <w:r w:rsidR="00C23549" w:rsidRPr="000F1685">
              <w:rPr>
                <w:rFonts w:ascii="Arial" w:hAnsi="Arial" w:cs="Arial"/>
                <w:sz w:val="22"/>
                <w:szCs w:val="22"/>
                <w:lang w:val="nl-BE"/>
              </w:rPr>
              <w:t>arbeids</w:t>
            </w:r>
            <w:r w:rsidRPr="000F1685">
              <w:rPr>
                <w:rFonts w:ascii="Arial" w:hAnsi="Arial" w:cs="Arial"/>
                <w:sz w:val="22"/>
                <w:szCs w:val="22"/>
                <w:lang w:val="nl-BE"/>
              </w:rPr>
              <w:t>ongeval en zwangerschap worden hierin niet opgenomen.</w:t>
            </w:r>
          </w:p>
          <w:p w14:paraId="46AB4631" w14:textId="2F4CCEBB" w:rsidR="00126D1E" w:rsidRPr="000F1685" w:rsidRDefault="00126D1E" w:rsidP="00126D1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14:paraId="735B7B50" w14:textId="017D802F" w:rsidR="00126D1E" w:rsidRPr="000F1685" w:rsidRDefault="00126D1E" w:rsidP="00126D1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126D1E" w:rsidRPr="00126D1E" w14:paraId="7FD2FA4A" w14:textId="77777777" w:rsidTr="00F26BD1">
        <w:tc>
          <w:tcPr>
            <w:tcW w:w="9570" w:type="dxa"/>
            <w:gridSpan w:val="2"/>
          </w:tcPr>
          <w:tbl>
            <w:tblPr>
              <w:tblW w:w="8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80"/>
              <w:gridCol w:w="1240"/>
              <w:gridCol w:w="1240"/>
              <w:gridCol w:w="1240"/>
              <w:gridCol w:w="1240"/>
              <w:gridCol w:w="1240"/>
            </w:tblGrid>
            <w:tr w:rsidR="00126D1E" w:rsidRPr="000F1685" w14:paraId="043E9865" w14:textId="77777777" w:rsidTr="00317D08">
              <w:trPr>
                <w:trHeight w:val="276"/>
              </w:trPr>
              <w:tc>
                <w:tcPr>
                  <w:tcW w:w="2780" w:type="dxa"/>
                  <w:shd w:val="clear" w:color="auto" w:fill="auto"/>
                  <w:noWrap/>
                  <w:vAlign w:val="center"/>
                </w:tcPr>
                <w:p w14:paraId="1F98E129" w14:textId="7790D15D" w:rsidR="00126D1E" w:rsidRPr="000F1685" w:rsidRDefault="00126D1E" w:rsidP="00126D1E">
                  <w:pPr>
                    <w:jc w:val="center"/>
                    <w:rPr>
                      <w:rFonts w:ascii="Arial" w:hAnsi="Arial" w:cs="Arial"/>
                      <w:lang w:val="fr-BE" w:eastAsia="nl-NL"/>
                    </w:rPr>
                  </w:pPr>
                </w:p>
              </w:tc>
              <w:tc>
                <w:tcPr>
                  <w:tcW w:w="1240" w:type="dxa"/>
                  <w:shd w:val="clear" w:color="auto" w:fill="auto"/>
                  <w:noWrap/>
                  <w:vAlign w:val="center"/>
                  <w:hideMark/>
                </w:tcPr>
                <w:p w14:paraId="4702AD0C" w14:textId="77777777" w:rsidR="00126D1E" w:rsidRPr="000F1685" w:rsidRDefault="00126D1E" w:rsidP="00126D1E">
                  <w:pPr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  <w:lang w:val="fr-BE"/>
                    </w:rPr>
                  </w:pPr>
                  <w:r w:rsidRPr="000F1685">
                    <w:rPr>
                      <w:rFonts w:ascii="Arial" w:hAnsi="Arial" w:cs="Arial"/>
                      <w:sz w:val="22"/>
                      <w:szCs w:val="22"/>
                      <w:lang w:val="fr-BE"/>
                    </w:rPr>
                    <w:t>2018</w:t>
                  </w:r>
                </w:p>
              </w:tc>
              <w:tc>
                <w:tcPr>
                  <w:tcW w:w="1240" w:type="dxa"/>
                  <w:shd w:val="clear" w:color="auto" w:fill="auto"/>
                  <w:noWrap/>
                  <w:vAlign w:val="center"/>
                  <w:hideMark/>
                </w:tcPr>
                <w:p w14:paraId="4CB58651" w14:textId="77777777" w:rsidR="00126D1E" w:rsidRPr="000F1685" w:rsidRDefault="00126D1E" w:rsidP="00126D1E">
                  <w:pPr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  <w:lang w:val="fr-BE"/>
                    </w:rPr>
                  </w:pPr>
                  <w:r w:rsidRPr="000F1685">
                    <w:rPr>
                      <w:rFonts w:ascii="Arial" w:hAnsi="Arial" w:cs="Arial"/>
                      <w:sz w:val="22"/>
                      <w:szCs w:val="22"/>
                      <w:lang w:val="fr-BE"/>
                    </w:rPr>
                    <w:t>2019</w:t>
                  </w:r>
                </w:p>
              </w:tc>
              <w:tc>
                <w:tcPr>
                  <w:tcW w:w="1240" w:type="dxa"/>
                  <w:shd w:val="clear" w:color="auto" w:fill="auto"/>
                  <w:noWrap/>
                  <w:vAlign w:val="center"/>
                  <w:hideMark/>
                </w:tcPr>
                <w:p w14:paraId="6AEEACE9" w14:textId="77777777" w:rsidR="00126D1E" w:rsidRPr="000F1685" w:rsidRDefault="00126D1E" w:rsidP="00126D1E">
                  <w:pPr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  <w:lang w:val="fr-BE"/>
                    </w:rPr>
                  </w:pPr>
                  <w:r w:rsidRPr="000F1685">
                    <w:rPr>
                      <w:rFonts w:ascii="Arial" w:hAnsi="Arial" w:cs="Arial"/>
                      <w:sz w:val="22"/>
                      <w:szCs w:val="22"/>
                      <w:lang w:val="fr-BE"/>
                    </w:rPr>
                    <w:t>2020</w:t>
                  </w:r>
                </w:p>
              </w:tc>
              <w:tc>
                <w:tcPr>
                  <w:tcW w:w="1240" w:type="dxa"/>
                  <w:shd w:val="clear" w:color="auto" w:fill="auto"/>
                  <w:noWrap/>
                  <w:vAlign w:val="center"/>
                  <w:hideMark/>
                </w:tcPr>
                <w:p w14:paraId="616C5E87" w14:textId="77777777" w:rsidR="00126D1E" w:rsidRPr="000F1685" w:rsidRDefault="00126D1E" w:rsidP="00126D1E">
                  <w:pPr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  <w:lang w:val="fr-BE"/>
                    </w:rPr>
                  </w:pPr>
                  <w:r w:rsidRPr="000F1685">
                    <w:rPr>
                      <w:rFonts w:ascii="Arial" w:hAnsi="Arial" w:cs="Arial"/>
                      <w:sz w:val="22"/>
                      <w:szCs w:val="22"/>
                      <w:lang w:val="fr-BE"/>
                    </w:rPr>
                    <w:t>2021</w:t>
                  </w:r>
                </w:p>
              </w:tc>
              <w:tc>
                <w:tcPr>
                  <w:tcW w:w="1240" w:type="dxa"/>
                  <w:shd w:val="clear" w:color="auto" w:fill="auto"/>
                  <w:noWrap/>
                  <w:vAlign w:val="center"/>
                  <w:hideMark/>
                </w:tcPr>
                <w:p w14:paraId="157352DD" w14:textId="77777777" w:rsidR="00126D1E" w:rsidRPr="000F1685" w:rsidRDefault="00126D1E" w:rsidP="00126D1E">
                  <w:pPr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  <w:lang w:val="fr-BE"/>
                    </w:rPr>
                  </w:pPr>
                  <w:r w:rsidRPr="000F1685">
                    <w:rPr>
                      <w:rFonts w:ascii="Arial" w:hAnsi="Arial" w:cs="Arial"/>
                      <w:sz w:val="22"/>
                      <w:szCs w:val="22"/>
                      <w:lang w:val="fr-BE"/>
                    </w:rPr>
                    <w:t>2022</w:t>
                  </w:r>
                </w:p>
              </w:tc>
            </w:tr>
            <w:tr w:rsidR="00126D1E" w:rsidRPr="000F1685" w14:paraId="6FE2BBDC" w14:textId="77777777" w:rsidTr="00317D08">
              <w:trPr>
                <w:trHeight w:val="276"/>
              </w:trPr>
              <w:tc>
                <w:tcPr>
                  <w:tcW w:w="2780" w:type="dxa"/>
                  <w:shd w:val="clear" w:color="auto" w:fill="auto"/>
                  <w:noWrap/>
                  <w:vAlign w:val="center"/>
                </w:tcPr>
                <w:p w14:paraId="6C58AAB8" w14:textId="77777777" w:rsidR="0002787F" w:rsidRPr="000F1685" w:rsidRDefault="0002787F" w:rsidP="0002787F">
                  <w:pPr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  <w:lang w:val="fr-BE"/>
                    </w:rPr>
                  </w:pPr>
                  <w:r w:rsidRPr="000F1685">
                    <w:rPr>
                      <w:rFonts w:ascii="Arial" w:hAnsi="Arial" w:cs="Arial"/>
                      <w:sz w:val="22"/>
                      <w:szCs w:val="22"/>
                      <w:lang w:val="fr-BE"/>
                    </w:rPr>
                    <w:t>Moyenne annuelle (%)</w:t>
                  </w:r>
                </w:p>
                <w:p w14:paraId="7068FF54" w14:textId="209A519A" w:rsidR="00126D1E" w:rsidRPr="000F1685" w:rsidRDefault="0002787F" w:rsidP="0002787F">
                  <w:pPr>
                    <w:jc w:val="center"/>
                    <w:rPr>
                      <w:rFonts w:ascii="Arial" w:hAnsi="Arial" w:cs="Arial"/>
                      <w:lang w:val="fr-BE" w:eastAsia="nl-NL"/>
                    </w:rPr>
                  </w:pPr>
                  <w:proofErr w:type="spellStart"/>
                  <w:r w:rsidRPr="000F1685">
                    <w:rPr>
                      <w:rFonts w:ascii="Arial" w:hAnsi="Arial" w:cs="Arial"/>
                      <w:sz w:val="22"/>
                      <w:szCs w:val="22"/>
                      <w:lang w:val="fr-BE"/>
                    </w:rPr>
                    <w:t>Jaarlijks</w:t>
                  </w:r>
                  <w:proofErr w:type="spellEnd"/>
                  <w:r w:rsidRPr="000F1685">
                    <w:rPr>
                      <w:rFonts w:ascii="Arial" w:hAnsi="Arial" w:cs="Arial"/>
                      <w:sz w:val="22"/>
                      <w:szCs w:val="22"/>
                      <w:lang w:val="fr-BE"/>
                    </w:rPr>
                    <w:t xml:space="preserve"> </w:t>
                  </w:r>
                  <w:proofErr w:type="spellStart"/>
                  <w:r w:rsidRPr="000F1685">
                    <w:rPr>
                      <w:rFonts w:ascii="Arial" w:hAnsi="Arial" w:cs="Arial"/>
                      <w:sz w:val="22"/>
                      <w:szCs w:val="22"/>
                      <w:lang w:val="fr-BE"/>
                    </w:rPr>
                    <w:t>gemiddelde</w:t>
                  </w:r>
                  <w:proofErr w:type="spellEnd"/>
                  <w:r w:rsidRPr="000F1685">
                    <w:rPr>
                      <w:rFonts w:ascii="Arial" w:hAnsi="Arial" w:cs="Arial"/>
                      <w:sz w:val="22"/>
                      <w:szCs w:val="22"/>
                      <w:lang w:val="fr-BE"/>
                    </w:rPr>
                    <w:t xml:space="preserve"> (%)</w:t>
                  </w:r>
                </w:p>
              </w:tc>
              <w:tc>
                <w:tcPr>
                  <w:tcW w:w="1240" w:type="dxa"/>
                  <w:shd w:val="clear" w:color="auto" w:fill="auto"/>
                  <w:noWrap/>
                  <w:vAlign w:val="center"/>
                  <w:hideMark/>
                </w:tcPr>
                <w:p w14:paraId="071832E7" w14:textId="77777777" w:rsidR="00126D1E" w:rsidRPr="000F1685" w:rsidRDefault="00126D1E" w:rsidP="00126D1E">
                  <w:pPr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  <w:lang w:val="fr-BE"/>
                    </w:rPr>
                  </w:pPr>
                  <w:r w:rsidRPr="000F1685">
                    <w:rPr>
                      <w:rFonts w:ascii="Arial" w:hAnsi="Arial" w:cs="Arial"/>
                      <w:sz w:val="22"/>
                      <w:szCs w:val="22"/>
                      <w:lang w:val="fr-BE"/>
                    </w:rPr>
                    <w:t>8,28</w:t>
                  </w:r>
                </w:p>
              </w:tc>
              <w:tc>
                <w:tcPr>
                  <w:tcW w:w="1240" w:type="dxa"/>
                  <w:shd w:val="clear" w:color="auto" w:fill="auto"/>
                  <w:noWrap/>
                  <w:vAlign w:val="center"/>
                  <w:hideMark/>
                </w:tcPr>
                <w:p w14:paraId="46658549" w14:textId="77777777" w:rsidR="00126D1E" w:rsidRPr="000F1685" w:rsidRDefault="00126D1E" w:rsidP="00126D1E">
                  <w:pPr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  <w:lang w:val="fr-BE"/>
                    </w:rPr>
                  </w:pPr>
                  <w:r w:rsidRPr="000F1685">
                    <w:rPr>
                      <w:rFonts w:ascii="Arial" w:hAnsi="Arial" w:cs="Arial"/>
                      <w:sz w:val="22"/>
                      <w:szCs w:val="22"/>
                      <w:lang w:val="fr-BE"/>
                    </w:rPr>
                    <w:t>7,63</w:t>
                  </w:r>
                </w:p>
              </w:tc>
              <w:tc>
                <w:tcPr>
                  <w:tcW w:w="1240" w:type="dxa"/>
                  <w:shd w:val="clear" w:color="auto" w:fill="auto"/>
                  <w:noWrap/>
                  <w:vAlign w:val="center"/>
                  <w:hideMark/>
                </w:tcPr>
                <w:p w14:paraId="3FB7124B" w14:textId="77777777" w:rsidR="00126D1E" w:rsidRPr="000F1685" w:rsidRDefault="00126D1E" w:rsidP="00126D1E">
                  <w:pPr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  <w:lang w:val="fr-BE"/>
                    </w:rPr>
                  </w:pPr>
                  <w:r w:rsidRPr="000F1685">
                    <w:rPr>
                      <w:rFonts w:ascii="Arial" w:hAnsi="Arial" w:cs="Arial"/>
                      <w:sz w:val="22"/>
                      <w:szCs w:val="22"/>
                      <w:lang w:val="fr-BE"/>
                    </w:rPr>
                    <w:t>7,17</w:t>
                  </w:r>
                </w:p>
              </w:tc>
              <w:tc>
                <w:tcPr>
                  <w:tcW w:w="1240" w:type="dxa"/>
                  <w:shd w:val="clear" w:color="auto" w:fill="auto"/>
                  <w:noWrap/>
                  <w:vAlign w:val="center"/>
                  <w:hideMark/>
                </w:tcPr>
                <w:p w14:paraId="6D4599BD" w14:textId="77777777" w:rsidR="00126D1E" w:rsidRPr="000F1685" w:rsidRDefault="00126D1E" w:rsidP="00126D1E">
                  <w:pPr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  <w:lang w:val="fr-BE"/>
                    </w:rPr>
                  </w:pPr>
                  <w:r w:rsidRPr="000F1685">
                    <w:rPr>
                      <w:rFonts w:ascii="Arial" w:hAnsi="Arial" w:cs="Arial"/>
                      <w:sz w:val="22"/>
                      <w:szCs w:val="22"/>
                      <w:lang w:val="fr-BE"/>
                    </w:rPr>
                    <w:t>6,93</w:t>
                  </w:r>
                </w:p>
              </w:tc>
              <w:tc>
                <w:tcPr>
                  <w:tcW w:w="1240" w:type="dxa"/>
                  <w:shd w:val="clear" w:color="auto" w:fill="auto"/>
                  <w:noWrap/>
                  <w:vAlign w:val="center"/>
                  <w:hideMark/>
                </w:tcPr>
                <w:p w14:paraId="2227E757" w14:textId="77777777" w:rsidR="00126D1E" w:rsidRPr="000F1685" w:rsidRDefault="00126D1E" w:rsidP="00126D1E">
                  <w:pPr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  <w:lang w:val="fr-BE"/>
                    </w:rPr>
                  </w:pPr>
                  <w:r w:rsidRPr="000F1685">
                    <w:rPr>
                      <w:rFonts w:ascii="Arial" w:hAnsi="Arial" w:cs="Arial"/>
                      <w:sz w:val="22"/>
                      <w:szCs w:val="22"/>
                      <w:lang w:val="fr-BE"/>
                    </w:rPr>
                    <w:t>7,68</w:t>
                  </w:r>
                </w:p>
              </w:tc>
            </w:tr>
          </w:tbl>
          <w:p w14:paraId="762B8D27" w14:textId="77777777" w:rsidR="00126D1E" w:rsidRPr="000F1685" w:rsidRDefault="00126D1E" w:rsidP="00126D1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</w:tbl>
    <w:p w14:paraId="1D27FF45" w14:textId="77777777" w:rsidR="008A7E45" w:rsidRPr="00126D1E" w:rsidRDefault="008A7E45" w:rsidP="008A7E45">
      <w:pPr>
        <w:spacing w:before="840"/>
        <w:rPr>
          <w:rFonts w:ascii="Arial" w:hAnsi="Arial" w:cs="Arial"/>
          <w:sz w:val="22"/>
          <w:szCs w:val="22"/>
          <w:lang w:val="fr-BE"/>
        </w:rPr>
      </w:pPr>
    </w:p>
    <w:p w14:paraId="2278BB55" w14:textId="77777777" w:rsidR="008A7E45" w:rsidRPr="00126D1E" w:rsidRDefault="00BC50AD" w:rsidP="00782A6B">
      <w:pPr>
        <w:jc w:val="center"/>
        <w:rPr>
          <w:rFonts w:ascii="Arial" w:hAnsi="Arial" w:cs="Arial"/>
          <w:sz w:val="22"/>
          <w:szCs w:val="22"/>
          <w:lang w:val="fr-BE"/>
        </w:rPr>
      </w:pPr>
      <w:r w:rsidRPr="00126D1E">
        <w:rPr>
          <w:rFonts w:ascii="Arial" w:hAnsi="Arial" w:cs="Arial"/>
          <w:sz w:val="22"/>
          <w:szCs w:val="22"/>
          <w:lang w:val="fr-BE"/>
        </w:rPr>
        <w:t>Annelies VERLINDEN</w:t>
      </w:r>
    </w:p>
    <w:p w14:paraId="0CB76760" w14:textId="77777777" w:rsidR="008A7E45" w:rsidRPr="00126D1E" w:rsidRDefault="008A7E45" w:rsidP="008A7E45">
      <w:pPr>
        <w:rPr>
          <w:lang w:val="fr-BE"/>
        </w:rPr>
      </w:pPr>
    </w:p>
    <w:p w14:paraId="730589E4" w14:textId="77777777" w:rsidR="008A7E45" w:rsidRPr="00126D1E" w:rsidRDefault="008A7E45" w:rsidP="008A7E45">
      <w:pPr>
        <w:rPr>
          <w:lang w:val="fr-BE"/>
        </w:rPr>
      </w:pPr>
    </w:p>
    <w:p w14:paraId="3687DCA0" w14:textId="77777777" w:rsidR="005A6150" w:rsidRPr="00126D1E" w:rsidRDefault="005A6150">
      <w:pPr>
        <w:rPr>
          <w:lang w:val="fr-BE"/>
        </w:rPr>
      </w:pPr>
    </w:p>
    <w:sectPr w:rsidR="005A6150" w:rsidRPr="00126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31194" w14:textId="77777777" w:rsidR="009E4495" w:rsidRDefault="009E4495" w:rsidP="004428EC">
      <w:r>
        <w:separator/>
      </w:r>
    </w:p>
  </w:endnote>
  <w:endnote w:type="continuationSeparator" w:id="0">
    <w:p w14:paraId="2A3EF834" w14:textId="77777777" w:rsidR="009E4495" w:rsidRDefault="009E4495" w:rsidP="0044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18C33" w14:textId="77777777" w:rsidR="009E4495" w:rsidRDefault="009E4495" w:rsidP="004428EC">
      <w:r>
        <w:separator/>
      </w:r>
    </w:p>
  </w:footnote>
  <w:footnote w:type="continuationSeparator" w:id="0">
    <w:p w14:paraId="71A68417" w14:textId="77777777" w:rsidR="009E4495" w:rsidRDefault="009E4495" w:rsidP="00442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E45"/>
    <w:rsid w:val="00010746"/>
    <w:rsid w:val="00016E60"/>
    <w:rsid w:val="00026CD8"/>
    <w:rsid w:val="0002787F"/>
    <w:rsid w:val="00032C70"/>
    <w:rsid w:val="00033EFB"/>
    <w:rsid w:val="0004110A"/>
    <w:rsid w:val="00053899"/>
    <w:rsid w:val="00054CB5"/>
    <w:rsid w:val="00062756"/>
    <w:rsid w:val="00075594"/>
    <w:rsid w:val="0009330A"/>
    <w:rsid w:val="000A5860"/>
    <w:rsid w:val="000B2D58"/>
    <w:rsid w:val="000C1B72"/>
    <w:rsid w:val="000E2C03"/>
    <w:rsid w:val="000F1685"/>
    <w:rsid w:val="000F5AF8"/>
    <w:rsid w:val="000F603F"/>
    <w:rsid w:val="00104188"/>
    <w:rsid w:val="00117472"/>
    <w:rsid w:val="00126D1E"/>
    <w:rsid w:val="00133F53"/>
    <w:rsid w:val="00140311"/>
    <w:rsid w:val="00152A42"/>
    <w:rsid w:val="001536EF"/>
    <w:rsid w:val="00160A3A"/>
    <w:rsid w:val="0016690E"/>
    <w:rsid w:val="00174902"/>
    <w:rsid w:val="00182805"/>
    <w:rsid w:val="001B5E9A"/>
    <w:rsid w:val="001D203A"/>
    <w:rsid w:val="001D7B59"/>
    <w:rsid w:val="001F3769"/>
    <w:rsid w:val="001F68AC"/>
    <w:rsid w:val="00210950"/>
    <w:rsid w:val="00212B4E"/>
    <w:rsid w:val="00220F24"/>
    <w:rsid w:val="002211AB"/>
    <w:rsid w:val="002237ED"/>
    <w:rsid w:val="00261DC7"/>
    <w:rsid w:val="00281E69"/>
    <w:rsid w:val="002B540A"/>
    <w:rsid w:val="002C05EB"/>
    <w:rsid w:val="002E0215"/>
    <w:rsid w:val="002E42B0"/>
    <w:rsid w:val="002E51EA"/>
    <w:rsid w:val="002E7875"/>
    <w:rsid w:val="002F4740"/>
    <w:rsid w:val="002F6E27"/>
    <w:rsid w:val="00300D96"/>
    <w:rsid w:val="00317D08"/>
    <w:rsid w:val="00337CA0"/>
    <w:rsid w:val="0034207C"/>
    <w:rsid w:val="003439F3"/>
    <w:rsid w:val="0034655D"/>
    <w:rsid w:val="00354222"/>
    <w:rsid w:val="00362E80"/>
    <w:rsid w:val="003644CB"/>
    <w:rsid w:val="00371281"/>
    <w:rsid w:val="00373F0A"/>
    <w:rsid w:val="003744F7"/>
    <w:rsid w:val="003837EF"/>
    <w:rsid w:val="00426A8C"/>
    <w:rsid w:val="00434903"/>
    <w:rsid w:val="00437C54"/>
    <w:rsid w:val="004411BB"/>
    <w:rsid w:val="004428EC"/>
    <w:rsid w:val="00442912"/>
    <w:rsid w:val="00445E00"/>
    <w:rsid w:val="00461FBC"/>
    <w:rsid w:val="00474171"/>
    <w:rsid w:val="0048138A"/>
    <w:rsid w:val="00483568"/>
    <w:rsid w:val="004A1B45"/>
    <w:rsid w:val="004A7342"/>
    <w:rsid w:val="004C7A3F"/>
    <w:rsid w:val="004D1FD1"/>
    <w:rsid w:val="004D27A9"/>
    <w:rsid w:val="004D35F1"/>
    <w:rsid w:val="004D4A53"/>
    <w:rsid w:val="004F2F1E"/>
    <w:rsid w:val="00501C46"/>
    <w:rsid w:val="005057B2"/>
    <w:rsid w:val="00522C33"/>
    <w:rsid w:val="00533683"/>
    <w:rsid w:val="0054514C"/>
    <w:rsid w:val="005504FA"/>
    <w:rsid w:val="005505E8"/>
    <w:rsid w:val="00565658"/>
    <w:rsid w:val="00574239"/>
    <w:rsid w:val="00593696"/>
    <w:rsid w:val="005A6150"/>
    <w:rsid w:val="005C6CEA"/>
    <w:rsid w:val="005C7EE0"/>
    <w:rsid w:val="005E4E75"/>
    <w:rsid w:val="005F70A0"/>
    <w:rsid w:val="00606532"/>
    <w:rsid w:val="0061289A"/>
    <w:rsid w:val="0062068F"/>
    <w:rsid w:val="00635A0C"/>
    <w:rsid w:val="00663C27"/>
    <w:rsid w:val="006701D0"/>
    <w:rsid w:val="00687E38"/>
    <w:rsid w:val="00692515"/>
    <w:rsid w:val="006A6847"/>
    <w:rsid w:val="006C31A3"/>
    <w:rsid w:val="006D2694"/>
    <w:rsid w:val="006D27C1"/>
    <w:rsid w:val="00700666"/>
    <w:rsid w:val="00707C73"/>
    <w:rsid w:val="00716E9C"/>
    <w:rsid w:val="0072362C"/>
    <w:rsid w:val="00730ACB"/>
    <w:rsid w:val="007316F0"/>
    <w:rsid w:val="00740821"/>
    <w:rsid w:val="0076016E"/>
    <w:rsid w:val="0078244A"/>
    <w:rsid w:val="00782A6B"/>
    <w:rsid w:val="007958CF"/>
    <w:rsid w:val="007A3970"/>
    <w:rsid w:val="007A76BB"/>
    <w:rsid w:val="007B30E9"/>
    <w:rsid w:val="007B5D70"/>
    <w:rsid w:val="007C3258"/>
    <w:rsid w:val="007D39F5"/>
    <w:rsid w:val="007D4CD8"/>
    <w:rsid w:val="007E36F2"/>
    <w:rsid w:val="007E483B"/>
    <w:rsid w:val="007F0801"/>
    <w:rsid w:val="008139AA"/>
    <w:rsid w:val="00841BDE"/>
    <w:rsid w:val="008472AF"/>
    <w:rsid w:val="00870E39"/>
    <w:rsid w:val="00877074"/>
    <w:rsid w:val="00885DA5"/>
    <w:rsid w:val="00892698"/>
    <w:rsid w:val="00892DF1"/>
    <w:rsid w:val="008A5D61"/>
    <w:rsid w:val="008A7E45"/>
    <w:rsid w:val="008B303D"/>
    <w:rsid w:val="008C2620"/>
    <w:rsid w:val="008C6D56"/>
    <w:rsid w:val="008D47A2"/>
    <w:rsid w:val="008E0F72"/>
    <w:rsid w:val="008E348C"/>
    <w:rsid w:val="008E74A5"/>
    <w:rsid w:val="00934E13"/>
    <w:rsid w:val="009424AD"/>
    <w:rsid w:val="00951C25"/>
    <w:rsid w:val="00964778"/>
    <w:rsid w:val="00967598"/>
    <w:rsid w:val="0097686B"/>
    <w:rsid w:val="009A312E"/>
    <w:rsid w:val="009C371F"/>
    <w:rsid w:val="009D44AF"/>
    <w:rsid w:val="009D5A64"/>
    <w:rsid w:val="009D74FC"/>
    <w:rsid w:val="009E3ED9"/>
    <w:rsid w:val="009E4495"/>
    <w:rsid w:val="009F345D"/>
    <w:rsid w:val="009F61F8"/>
    <w:rsid w:val="00A07F13"/>
    <w:rsid w:val="00A11D84"/>
    <w:rsid w:val="00A16F78"/>
    <w:rsid w:val="00A413CF"/>
    <w:rsid w:val="00A664B8"/>
    <w:rsid w:val="00A67C06"/>
    <w:rsid w:val="00A70068"/>
    <w:rsid w:val="00A8527E"/>
    <w:rsid w:val="00A92CCB"/>
    <w:rsid w:val="00AA7D4B"/>
    <w:rsid w:val="00AF4286"/>
    <w:rsid w:val="00B01868"/>
    <w:rsid w:val="00B029BD"/>
    <w:rsid w:val="00B04EA3"/>
    <w:rsid w:val="00B60371"/>
    <w:rsid w:val="00B60B39"/>
    <w:rsid w:val="00B67C8C"/>
    <w:rsid w:val="00B67FDC"/>
    <w:rsid w:val="00B70A7E"/>
    <w:rsid w:val="00B729E1"/>
    <w:rsid w:val="00B74A8A"/>
    <w:rsid w:val="00B84B69"/>
    <w:rsid w:val="00B92DB4"/>
    <w:rsid w:val="00B93B86"/>
    <w:rsid w:val="00BC50AD"/>
    <w:rsid w:val="00BC7F6E"/>
    <w:rsid w:val="00BD0AE5"/>
    <w:rsid w:val="00BE00F4"/>
    <w:rsid w:val="00BE37E6"/>
    <w:rsid w:val="00BF1F14"/>
    <w:rsid w:val="00C11134"/>
    <w:rsid w:val="00C22CB1"/>
    <w:rsid w:val="00C23133"/>
    <w:rsid w:val="00C23549"/>
    <w:rsid w:val="00C278C2"/>
    <w:rsid w:val="00C40184"/>
    <w:rsid w:val="00C4556F"/>
    <w:rsid w:val="00C4733A"/>
    <w:rsid w:val="00C47A30"/>
    <w:rsid w:val="00C530C4"/>
    <w:rsid w:val="00C6225C"/>
    <w:rsid w:val="00C77A78"/>
    <w:rsid w:val="00C83676"/>
    <w:rsid w:val="00C9301A"/>
    <w:rsid w:val="00CA308C"/>
    <w:rsid w:val="00CB0AEF"/>
    <w:rsid w:val="00CB2027"/>
    <w:rsid w:val="00CB4D0A"/>
    <w:rsid w:val="00CC0777"/>
    <w:rsid w:val="00CD6454"/>
    <w:rsid w:val="00CE3D69"/>
    <w:rsid w:val="00CF0B42"/>
    <w:rsid w:val="00CF5936"/>
    <w:rsid w:val="00D0008B"/>
    <w:rsid w:val="00D11A04"/>
    <w:rsid w:val="00D2373A"/>
    <w:rsid w:val="00D26782"/>
    <w:rsid w:val="00D31594"/>
    <w:rsid w:val="00D72707"/>
    <w:rsid w:val="00D83471"/>
    <w:rsid w:val="00D87E09"/>
    <w:rsid w:val="00DA4ABF"/>
    <w:rsid w:val="00DB5EE3"/>
    <w:rsid w:val="00DF301D"/>
    <w:rsid w:val="00E024B7"/>
    <w:rsid w:val="00E24A25"/>
    <w:rsid w:val="00E433AA"/>
    <w:rsid w:val="00E50128"/>
    <w:rsid w:val="00E5684C"/>
    <w:rsid w:val="00E64F7F"/>
    <w:rsid w:val="00E71F06"/>
    <w:rsid w:val="00E725F7"/>
    <w:rsid w:val="00E749F0"/>
    <w:rsid w:val="00E7734B"/>
    <w:rsid w:val="00E82636"/>
    <w:rsid w:val="00E91C08"/>
    <w:rsid w:val="00E94674"/>
    <w:rsid w:val="00E95A1E"/>
    <w:rsid w:val="00EA280B"/>
    <w:rsid w:val="00EB0460"/>
    <w:rsid w:val="00EC4D03"/>
    <w:rsid w:val="00EC513F"/>
    <w:rsid w:val="00ED403F"/>
    <w:rsid w:val="00EE737F"/>
    <w:rsid w:val="00EF0BB5"/>
    <w:rsid w:val="00EF0D97"/>
    <w:rsid w:val="00F03CF4"/>
    <w:rsid w:val="00F12BBC"/>
    <w:rsid w:val="00F16759"/>
    <w:rsid w:val="00F20FA4"/>
    <w:rsid w:val="00F2716E"/>
    <w:rsid w:val="00F31191"/>
    <w:rsid w:val="00F31580"/>
    <w:rsid w:val="00F331F3"/>
    <w:rsid w:val="00F47306"/>
    <w:rsid w:val="00F47963"/>
    <w:rsid w:val="00F8218A"/>
    <w:rsid w:val="00F83E74"/>
    <w:rsid w:val="00F85B85"/>
    <w:rsid w:val="00F92473"/>
    <w:rsid w:val="00F926A2"/>
    <w:rsid w:val="00F92CB6"/>
    <w:rsid w:val="00FB431F"/>
    <w:rsid w:val="00FC1740"/>
    <w:rsid w:val="00FC3A9D"/>
    <w:rsid w:val="00FC6158"/>
    <w:rsid w:val="00FC71D5"/>
    <w:rsid w:val="00FE07FF"/>
    <w:rsid w:val="00FE5A47"/>
    <w:rsid w:val="00FE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8F822"/>
  <w15:chartTrackingRefBased/>
  <w15:docId w15:val="{B4DC812E-919D-4A3D-867D-AFC74EA4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A7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A7E45"/>
    <w:pPr>
      <w:spacing w:before="60" w:after="60"/>
      <w:ind w:left="720"/>
      <w:contextualSpacing/>
    </w:pPr>
    <w:rPr>
      <w:rFonts w:ascii="Arial" w:hAnsi="Arial" w:cs="Arial"/>
      <w:sz w:val="22"/>
      <w:szCs w:val="22"/>
      <w:lang w:val="fr-FR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D26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fr-BE" w:eastAsia="fr-BE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D26782"/>
    <w:rPr>
      <w:rFonts w:ascii="Courier New" w:eastAsia="Times New Roman" w:hAnsi="Courier New" w:cs="Courier New"/>
      <w:sz w:val="20"/>
      <w:szCs w:val="20"/>
      <w:lang w:val="fr-BE" w:eastAsia="fr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024B7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024B7"/>
    <w:rPr>
      <w:rFonts w:ascii="Segoe UI" w:eastAsia="Times New Roman" w:hAnsi="Segoe UI" w:cs="Segoe UI"/>
      <w:sz w:val="18"/>
      <w:szCs w:val="18"/>
      <w:lang w:val="en-US" w:eastAsia="fr-FR"/>
    </w:rPr>
  </w:style>
  <w:style w:type="paragraph" w:styleId="Plattetekst">
    <w:name w:val="Body Text"/>
    <w:basedOn w:val="Standaard"/>
    <w:link w:val="PlattetekstChar"/>
    <w:uiPriority w:val="99"/>
    <w:rsid w:val="00740821"/>
    <w:pPr>
      <w:spacing w:after="120"/>
    </w:pPr>
    <w:rPr>
      <w:rFonts w:ascii="Arial" w:hAnsi="Arial"/>
      <w:sz w:val="22"/>
      <w:szCs w:val="24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99"/>
    <w:rsid w:val="00740821"/>
    <w:rPr>
      <w:rFonts w:ascii="Arial" w:eastAsia="Times New Roman" w:hAnsi="Arial" w:cs="Times New Roman"/>
      <w:szCs w:val="24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4428EC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428EC"/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paragraph" w:styleId="Voettekst">
    <w:name w:val="footer"/>
    <w:basedOn w:val="Standaard"/>
    <w:link w:val="VoettekstChar"/>
    <w:uiPriority w:val="99"/>
    <w:unhideWhenUsed/>
    <w:rsid w:val="004428EC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428EC"/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table" w:styleId="Tabelraster">
    <w:name w:val="Table Grid"/>
    <w:basedOn w:val="Standaardtabel"/>
    <w:uiPriority w:val="39"/>
    <w:rsid w:val="008C6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Standaardalinea-lettertype"/>
    <w:uiPriority w:val="99"/>
    <w:rsid w:val="00A16F78"/>
    <w:rPr>
      <w:b/>
      <w:bCs/>
    </w:rPr>
  </w:style>
  <w:style w:type="paragraph" w:styleId="Revisie">
    <w:name w:val="Revision"/>
    <w:hidden/>
    <w:uiPriority w:val="99"/>
    <w:semiHidden/>
    <w:rsid w:val="00C23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3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753DF4F3C7884FACF1E4D91152CC5C" ma:contentTypeVersion="17" ma:contentTypeDescription="Create a new document." ma:contentTypeScope="" ma:versionID="1405886c47a537d8343b296fef1931bf">
  <xsd:schema xmlns:xsd="http://www.w3.org/2001/XMLSchema" xmlns:xs="http://www.w3.org/2001/XMLSchema" xmlns:p="http://schemas.microsoft.com/office/2006/metadata/properties" xmlns:ns2="af1c6c8b-34a8-4b70-968b-732a2ac3d3c1" xmlns:ns3="ceb1e59b-233c-4e0a-bf91-f667ea2f9184" targetNamespace="http://schemas.microsoft.com/office/2006/metadata/properties" ma:root="true" ma:fieldsID="4b6a7a78f6e71a14eaf0dce1bb2ad3ec" ns2:_="" ns3:_="">
    <xsd:import namespace="af1c6c8b-34a8-4b70-968b-732a2ac3d3c1"/>
    <xsd:import namespace="ceb1e59b-233c-4e0a-bf91-f667ea2f91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c6c8b-34a8-4b70-968b-732a2ac3d3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hidden="true" ma:internalName="MediaServiceAutoTags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d12e951-e78d-459c-b21b-67901cf853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1e59b-233c-4e0a-bf91-f667ea2f91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1f9c142c-8557-41f9-a8c9-560834f31e50}" ma:internalName="TaxCatchAll" ma:readOnly="false" ma:showField="CatchAllData" ma:web="ceb1e59b-233c-4e0a-bf91-f667ea2f91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b1e59b-233c-4e0a-bf91-f667ea2f9184" xsi:nil="true"/>
    <lcf76f155ced4ddcb4097134ff3c332f xmlns="af1c6c8b-34a8-4b70-968b-732a2ac3d3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6F45D2B-4CF6-4FF8-9F8C-2C6E489023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1c6c8b-34a8-4b70-968b-732a2ac3d3c1"/>
    <ds:schemaRef ds:uri="ceb1e59b-233c-4e0a-bf91-f667ea2f91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47E188-636B-4309-8338-2CDC9F3388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55C24F-F8CC-41DD-BC7E-6EEA971872C9}">
  <ds:schemaRefs>
    <ds:schemaRef ds:uri="http://schemas.microsoft.com/office/2006/metadata/properties"/>
    <ds:schemaRef ds:uri="http://schemas.microsoft.com/office/infopath/2007/PartnerControls"/>
    <ds:schemaRef ds:uri="ceb1e59b-233c-4e0a-bf91-f667ea2f9184"/>
    <ds:schemaRef ds:uri="af1c6c8b-34a8-4b70-968b-732a2ac3d3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963</Words>
  <Characters>5301</Characters>
  <Application>Microsoft Office Word</Application>
  <DocSecurity>4</DocSecurity>
  <Lines>44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Vanbelleghem Tim</dc:creator>
  <cp:keywords/>
  <dc:description/>
  <cp:lastModifiedBy>Kristof Luypaert</cp:lastModifiedBy>
  <cp:revision>2</cp:revision>
  <cp:lastPrinted>2019-01-14T11:37:00Z</cp:lastPrinted>
  <dcterms:created xsi:type="dcterms:W3CDTF">2023-03-14T10:51:00Z</dcterms:created>
  <dcterms:modified xsi:type="dcterms:W3CDTF">2023-03-14T10:51:00Z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0x0101009D753DF4F3C7884FACF1E4D91152CC5C</vt:lpwstr>
  </property>
  <property fmtid="{D5CDD505-2E9C-101B-9397-08002B2CF9AE}" pid="3" name="MediaServiceImageTags">
    <vt:lpwstr/>
  </property>
</Properties>
</file>