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2075" w14:textId="77777777" w:rsidR="00214C83" w:rsidRPr="009E1210" w:rsidRDefault="00214C83" w:rsidP="00B92F76">
      <w:pPr>
        <w:jc w:val="both"/>
        <w:outlineLvl w:val="0"/>
        <w:rPr>
          <w:rFonts w:ascii="Verdana" w:hAnsi="Verdana"/>
          <w:b/>
          <w:smallCaps/>
          <w:sz w:val="20"/>
          <w:lang w:val="nl-BE"/>
        </w:rPr>
      </w:pP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zuhal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demir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</w:p>
    <w:p w14:paraId="18732076" w14:textId="77777777" w:rsidR="00214C83" w:rsidRPr="00CC7F21" w:rsidRDefault="00214C83" w:rsidP="00B92F76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 w:rsidRPr="009E1210">
        <w:rPr>
          <w:rFonts w:ascii="Verdana" w:hAnsi="Verdana"/>
          <w:smallCaps/>
          <w:sz w:val="20"/>
          <w:lang w:val="nl-BE"/>
        </w:rPr>
        <w:t>vlaams</w:t>
      </w:r>
      <w:proofErr w:type="spellEnd"/>
      <w:r w:rsidRPr="009E1210">
        <w:rPr>
          <w:rFonts w:ascii="Verdana" w:hAnsi="Verdana"/>
          <w:smallCaps/>
          <w:sz w:val="20"/>
          <w:lang w:val="nl-BE"/>
        </w:rPr>
        <w:t xml:space="preserve"> minister van justitie en handhaving, omgeving, energie en toerisme</w:t>
      </w:r>
    </w:p>
    <w:p w14:paraId="18732077" w14:textId="77777777" w:rsidR="00214C83" w:rsidRPr="00CC7F21" w:rsidRDefault="00214C83" w:rsidP="00B92F76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18732078" w14:textId="77777777" w:rsidR="00214C83" w:rsidRPr="00CC7F21" w:rsidRDefault="00214C83" w:rsidP="00B92F76">
      <w:pPr>
        <w:jc w:val="both"/>
        <w:rPr>
          <w:rFonts w:ascii="Verdana" w:hAnsi="Verdana"/>
          <w:sz w:val="20"/>
        </w:rPr>
      </w:pPr>
    </w:p>
    <w:p w14:paraId="18732079" w14:textId="77777777" w:rsidR="00214C83" w:rsidRPr="009E1210" w:rsidRDefault="00214C83" w:rsidP="00B92F76">
      <w:pPr>
        <w:jc w:val="both"/>
        <w:outlineLvl w:val="0"/>
        <w:rPr>
          <w:rFonts w:ascii="Verdana" w:hAnsi="Verdana"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>antwoord</w:t>
      </w:r>
    </w:p>
    <w:p w14:paraId="1873207A" w14:textId="77777777" w:rsidR="00214C83" w:rsidRPr="009E1210" w:rsidRDefault="00214C83" w:rsidP="00B92F76">
      <w:pPr>
        <w:jc w:val="both"/>
        <w:outlineLvl w:val="0"/>
        <w:rPr>
          <w:rFonts w:ascii="Verdana" w:hAnsi="Verdana"/>
          <w:sz w:val="20"/>
        </w:rPr>
      </w:pPr>
      <w:r w:rsidRPr="009E1210">
        <w:rPr>
          <w:rFonts w:ascii="Verdana" w:hAnsi="Verdana"/>
          <w:sz w:val="20"/>
        </w:rPr>
        <w:t xml:space="preserve">op vraag nr. </w:t>
      </w:r>
      <w:r>
        <w:rPr>
          <w:rFonts w:ascii="Verdana" w:hAnsi="Verdana"/>
          <w:sz w:val="20"/>
        </w:rPr>
        <w:t>487</w:t>
      </w:r>
      <w:r w:rsidRPr="009E1210">
        <w:rPr>
          <w:rFonts w:ascii="Verdana" w:hAnsi="Verdana"/>
          <w:sz w:val="20"/>
        </w:rPr>
        <w:t xml:space="preserve"> van </w:t>
      </w:r>
      <w:r>
        <w:rPr>
          <w:rFonts w:ascii="Verdana" w:hAnsi="Verdana"/>
          <w:sz w:val="20"/>
        </w:rPr>
        <w:t>15 februari 2023</w:t>
      </w:r>
    </w:p>
    <w:p w14:paraId="1873207B" w14:textId="77777777" w:rsidR="00214C83" w:rsidRPr="00CC7F21" w:rsidRDefault="00214C83" w:rsidP="00B92F76">
      <w:pPr>
        <w:jc w:val="both"/>
        <w:rPr>
          <w:rFonts w:ascii="Verdana" w:hAnsi="Verdana"/>
          <w:b/>
          <w:sz w:val="20"/>
        </w:rPr>
      </w:pPr>
      <w:r w:rsidRPr="009E1210">
        <w:rPr>
          <w:rFonts w:ascii="Verdana" w:hAnsi="Verdana"/>
          <w:sz w:val="20"/>
        </w:rPr>
        <w:t xml:space="preserve">van </w:t>
      </w:r>
      <w:r>
        <w:rPr>
          <w:rFonts w:ascii="Verdana" w:hAnsi="Verdana"/>
          <w:b/>
          <w:smallCaps/>
          <w:sz w:val="20"/>
        </w:rPr>
        <w:t>chris janssens</w:t>
      </w:r>
    </w:p>
    <w:p w14:paraId="1873207C" w14:textId="77777777" w:rsidR="00214C83" w:rsidRPr="00CC7F21" w:rsidRDefault="00214C83" w:rsidP="00B92F76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1873207D" w14:textId="77777777" w:rsidR="00214C83" w:rsidRPr="00CC7F21" w:rsidRDefault="00214C83" w:rsidP="00B92F76">
      <w:pPr>
        <w:pStyle w:val="StandaardSV"/>
        <w:rPr>
          <w:rFonts w:ascii="Verdana" w:hAnsi="Verdana"/>
          <w:sz w:val="20"/>
        </w:rPr>
      </w:pPr>
    </w:p>
    <w:p w14:paraId="6F81B8B2" w14:textId="77777777" w:rsidR="0000572E" w:rsidRPr="001C2B66" w:rsidRDefault="0000572E" w:rsidP="00B92F76">
      <w:pPr>
        <w:pStyle w:val="StandaardSV"/>
        <w:rPr>
          <w:rFonts w:ascii="Verdana" w:hAnsi="Verdana"/>
          <w:sz w:val="20"/>
        </w:rPr>
      </w:pPr>
    </w:p>
    <w:p w14:paraId="3802E93A" w14:textId="38912665" w:rsidR="006B3213" w:rsidRPr="00940E46" w:rsidRDefault="007E6253" w:rsidP="00B92F76">
      <w:pPr>
        <w:pStyle w:val="Nummering"/>
        <w:numPr>
          <w:ilvl w:val="0"/>
          <w:numId w:val="2"/>
        </w:numPr>
        <w:spacing w:after="0"/>
        <w:rPr>
          <w:rFonts w:eastAsia="Verdana"/>
          <w:szCs w:val="20"/>
          <w:lang w:val="nl-BE"/>
        </w:rPr>
      </w:pPr>
      <w:r w:rsidRPr="007E6253">
        <w:rPr>
          <w:rFonts w:eastAsia="Verdana"/>
          <w:szCs w:val="20"/>
          <w:lang w:val="nl-BE"/>
        </w:rPr>
        <w:t>Het Ruimtelijk Structuurplan Vlaanderen gaat uit van een toename van de oppervlakte bestemd als natuur- en reservaatgebied tot 150.000 ha en een toename van de oppervlakte bestemd als bosgebied tot 53.000 ha. De bijkomende bestemmingen natuur en bos k</w:t>
      </w:r>
      <w:r>
        <w:rPr>
          <w:rFonts w:eastAsia="Verdana"/>
          <w:szCs w:val="20"/>
          <w:lang w:val="nl-BE"/>
        </w:rPr>
        <w:t xml:space="preserve">unnen daarbij </w:t>
      </w:r>
      <w:r w:rsidRPr="007E6253">
        <w:rPr>
          <w:rFonts w:eastAsia="Verdana"/>
          <w:szCs w:val="20"/>
          <w:lang w:val="nl-BE"/>
        </w:rPr>
        <w:t>worden gerealiseerd door een omzetting van agrarisch gebied naar een bos en/of natuurbestemming, met een behoud van minimum 750.000 ha agrarisch gebied.</w:t>
      </w:r>
      <w:r>
        <w:rPr>
          <w:rFonts w:eastAsia="Verdana"/>
          <w:szCs w:val="20"/>
          <w:lang w:val="nl-BE"/>
        </w:rPr>
        <w:t xml:space="preserve"> </w:t>
      </w:r>
      <w:r w:rsidR="006B3213">
        <w:rPr>
          <w:rFonts w:eastAsia="Verdana"/>
          <w:szCs w:val="20"/>
          <w:lang w:val="nl-BE"/>
        </w:rPr>
        <w:t xml:space="preserve">Via het AGNAS-proces (de afbakening van de agrarische en natuurlijke structuur) worden de open ruimtebestemmingen gebiedsgericht en geïntegreerd met elkaar afgewogen. </w:t>
      </w:r>
      <w:r>
        <w:rPr>
          <w:rFonts w:eastAsia="Verdana"/>
          <w:szCs w:val="20"/>
          <w:lang w:val="nl-BE"/>
        </w:rPr>
        <w:t>Momenteel is er nog steeds ca</w:t>
      </w:r>
      <w:r w:rsidR="00835C64">
        <w:rPr>
          <w:rFonts w:eastAsia="Verdana"/>
          <w:szCs w:val="20"/>
          <w:lang w:val="nl-BE"/>
        </w:rPr>
        <w:t>.</w:t>
      </w:r>
      <w:r>
        <w:rPr>
          <w:rFonts w:eastAsia="Verdana"/>
          <w:szCs w:val="20"/>
          <w:lang w:val="nl-BE"/>
        </w:rPr>
        <w:t xml:space="preserve"> 780.000 ha agrarisch gebied en worden de doelstellingen inzake natuur en bos nog niet gehaald.</w:t>
      </w:r>
      <w:r w:rsidR="006B3213">
        <w:rPr>
          <w:rFonts w:eastAsia="Verdana"/>
          <w:szCs w:val="20"/>
          <w:lang w:val="nl-BE"/>
        </w:rPr>
        <w:t xml:space="preserve"> De aankoop van gronden die vandaag in agrarisch gebruik zijn voor de realisatie van natuurgebieden, </w:t>
      </w:r>
      <w:r w:rsidR="00F22DE9">
        <w:rPr>
          <w:rFonts w:eastAsia="Verdana"/>
          <w:szCs w:val="20"/>
          <w:lang w:val="nl-BE"/>
        </w:rPr>
        <w:t>is</w:t>
      </w:r>
      <w:r w:rsidR="006B3213">
        <w:rPr>
          <w:rFonts w:eastAsia="Verdana"/>
          <w:szCs w:val="20"/>
          <w:lang w:val="nl-BE"/>
        </w:rPr>
        <w:t xml:space="preserve"> niet de stuwende kracht achter de hoge aankoopprijzen.</w:t>
      </w:r>
    </w:p>
    <w:p w14:paraId="44636350" w14:textId="77777777" w:rsidR="001D5C17" w:rsidRPr="00D74C83" w:rsidRDefault="001D5C17" w:rsidP="00B92F76">
      <w:pPr>
        <w:rPr>
          <w:rFonts w:ascii="Verdana" w:hAnsi="Verdana"/>
          <w:sz w:val="20"/>
          <w:lang w:val="nl-BE"/>
        </w:rPr>
      </w:pPr>
    </w:p>
    <w:p w14:paraId="5F6535F6" w14:textId="61F58DE4" w:rsidR="00AA41BC" w:rsidRDefault="00131809" w:rsidP="00B92F76">
      <w:pPr>
        <w:pStyle w:val="Nummering"/>
        <w:numPr>
          <w:ilvl w:val="0"/>
          <w:numId w:val="2"/>
        </w:numPr>
        <w:spacing w:after="0"/>
        <w:rPr>
          <w:rFonts w:eastAsia="Verdana"/>
          <w:szCs w:val="20"/>
          <w:lang w:val="nl-BE"/>
        </w:rPr>
      </w:pPr>
      <w:r w:rsidRPr="006563AC">
        <w:rPr>
          <w:rFonts w:eastAsia="Verdana"/>
          <w:szCs w:val="20"/>
          <w:lang w:val="nl-BE"/>
        </w:rPr>
        <w:t xml:space="preserve">Voor de </w:t>
      </w:r>
      <w:r w:rsidR="008B7719" w:rsidRPr="006563AC">
        <w:rPr>
          <w:rFonts w:eastAsia="Verdana"/>
          <w:szCs w:val="20"/>
          <w:lang w:val="nl-BE"/>
        </w:rPr>
        <w:t xml:space="preserve">jaarlijkse </w:t>
      </w:r>
      <w:r w:rsidR="00C31BFB" w:rsidRPr="006563AC">
        <w:rPr>
          <w:rFonts w:eastAsia="Verdana"/>
          <w:szCs w:val="20"/>
          <w:lang w:val="nl-BE"/>
        </w:rPr>
        <w:t xml:space="preserve">subsidies </w:t>
      </w:r>
      <w:r w:rsidR="008B7719" w:rsidRPr="006563AC">
        <w:rPr>
          <w:rFonts w:eastAsia="Verdana"/>
          <w:szCs w:val="20"/>
          <w:lang w:val="nl-BE"/>
        </w:rPr>
        <w:t>betaald aan Natuurpunt door het Agentschap</w:t>
      </w:r>
      <w:r w:rsidR="005A6C44">
        <w:rPr>
          <w:rFonts w:eastAsia="Verdana"/>
          <w:szCs w:val="20"/>
          <w:lang w:val="nl-BE"/>
        </w:rPr>
        <w:t xml:space="preserve"> voor</w:t>
      </w:r>
      <w:r w:rsidR="008B7719" w:rsidRPr="006563AC">
        <w:rPr>
          <w:rFonts w:eastAsia="Verdana"/>
          <w:szCs w:val="20"/>
          <w:lang w:val="nl-BE"/>
        </w:rPr>
        <w:t xml:space="preserve"> Natuur en Bos</w:t>
      </w:r>
      <w:r w:rsidR="00F57704">
        <w:rPr>
          <w:rFonts w:eastAsia="Verdana"/>
          <w:szCs w:val="20"/>
          <w:lang w:val="nl-BE"/>
        </w:rPr>
        <w:t xml:space="preserve"> (ANB)</w:t>
      </w:r>
      <w:r w:rsidR="00C31BFB" w:rsidRPr="006563AC">
        <w:rPr>
          <w:rFonts w:eastAsia="Verdana"/>
          <w:szCs w:val="20"/>
          <w:lang w:val="nl-BE"/>
        </w:rPr>
        <w:t xml:space="preserve"> </w:t>
      </w:r>
      <w:r w:rsidR="008B7719" w:rsidRPr="006563AC">
        <w:rPr>
          <w:rFonts w:eastAsia="Verdana"/>
          <w:szCs w:val="20"/>
          <w:lang w:val="nl-BE"/>
        </w:rPr>
        <w:t>verwijzen we naar het antwoord op de schriftelijke vraag 606</w:t>
      </w:r>
      <w:r w:rsidR="001E0B19" w:rsidRPr="006563AC">
        <w:rPr>
          <w:rFonts w:eastAsia="Verdana"/>
          <w:szCs w:val="20"/>
          <w:lang w:val="nl-BE"/>
        </w:rPr>
        <w:t xml:space="preserve"> van 14 maart 2022 en de schriftelijke vraag 410 van 26 januari 2023.</w:t>
      </w:r>
    </w:p>
    <w:p w14:paraId="3CFBC1FD" w14:textId="214DC87A" w:rsidR="00D76DA0" w:rsidRDefault="00D76DA0" w:rsidP="00B92F76">
      <w:pPr>
        <w:pStyle w:val="Nummering"/>
        <w:numPr>
          <w:ilvl w:val="0"/>
          <w:numId w:val="0"/>
        </w:numPr>
        <w:spacing w:after="0"/>
        <w:ind w:left="425" w:hanging="425"/>
        <w:rPr>
          <w:rFonts w:eastAsia="Verdana"/>
          <w:szCs w:val="20"/>
          <w:lang w:val="nl-BE"/>
        </w:rPr>
      </w:pPr>
    </w:p>
    <w:p w14:paraId="58571C23" w14:textId="14E76E48" w:rsidR="00E47CFD" w:rsidRDefault="00E47CFD" w:rsidP="00B92F76">
      <w:pPr>
        <w:pStyle w:val="Nummering"/>
        <w:numPr>
          <w:ilvl w:val="0"/>
          <w:numId w:val="0"/>
        </w:numPr>
        <w:spacing w:after="0"/>
        <w:ind w:left="357"/>
        <w:rPr>
          <w:rFonts w:eastAsia="Verdana"/>
          <w:szCs w:val="20"/>
          <w:lang w:val="nl-BE"/>
        </w:rPr>
      </w:pPr>
      <w:r w:rsidRPr="00027775">
        <w:rPr>
          <w:rFonts w:eastAsia="Verdana"/>
          <w:szCs w:val="20"/>
          <w:lang w:val="nl-BE"/>
        </w:rPr>
        <w:t>D</w:t>
      </w:r>
      <w:r w:rsidR="00517510" w:rsidRPr="00027775">
        <w:rPr>
          <w:rFonts w:eastAsia="Verdana"/>
          <w:szCs w:val="20"/>
          <w:lang w:val="nl-BE"/>
        </w:rPr>
        <w:t>e budgetten voor aankoop van gronden door h</w:t>
      </w:r>
      <w:r w:rsidR="00C54494" w:rsidRPr="00027775">
        <w:rPr>
          <w:rFonts w:eastAsia="Verdana"/>
          <w:szCs w:val="20"/>
          <w:lang w:val="nl-BE"/>
        </w:rPr>
        <w:t>et A</w:t>
      </w:r>
      <w:r w:rsidR="00F57704">
        <w:rPr>
          <w:rFonts w:eastAsia="Verdana"/>
          <w:szCs w:val="20"/>
          <w:lang w:val="nl-BE"/>
        </w:rPr>
        <w:t>NB</w:t>
      </w:r>
      <w:r w:rsidR="00C54494" w:rsidRPr="00027775">
        <w:rPr>
          <w:rFonts w:eastAsia="Verdana"/>
          <w:szCs w:val="20"/>
          <w:lang w:val="nl-BE"/>
        </w:rPr>
        <w:t xml:space="preserve"> </w:t>
      </w:r>
      <w:r w:rsidRPr="00027775">
        <w:rPr>
          <w:rFonts w:eastAsia="Verdana"/>
          <w:szCs w:val="20"/>
          <w:lang w:val="nl-BE"/>
        </w:rPr>
        <w:t>worden gegeven in tabel 1.</w:t>
      </w:r>
      <w:r w:rsidR="004576AF">
        <w:rPr>
          <w:rFonts w:eastAsia="Verdana"/>
          <w:szCs w:val="20"/>
          <w:lang w:val="nl-BE"/>
        </w:rPr>
        <w:t xml:space="preserve"> Sedert 2020 </w:t>
      </w:r>
      <w:r w:rsidR="00AF3C88">
        <w:rPr>
          <w:rFonts w:eastAsia="Verdana"/>
          <w:szCs w:val="20"/>
          <w:lang w:val="nl-BE"/>
        </w:rPr>
        <w:t>is het reguliere aankoopbudget</w:t>
      </w:r>
      <w:r w:rsidR="003B1F73">
        <w:rPr>
          <w:rFonts w:eastAsia="Verdana"/>
          <w:szCs w:val="20"/>
          <w:lang w:val="nl-BE"/>
        </w:rPr>
        <w:t xml:space="preserve"> van ANB </w:t>
      </w:r>
      <w:r w:rsidR="009074DB">
        <w:rPr>
          <w:rFonts w:eastAsia="Verdana"/>
          <w:szCs w:val="20"/>
          <w:lang w:val="nl-BE"/>
        </w:rPr>
        <w:t xml:space="preserve">tijdelijk </w:t>
      </w:r>
      <w:r w:rsidR="003B1F73">
        <w:rPr>
          <w:rFonts w:eastAsia="Verdana"/>
          <w:szCs w:val="20"/>
          <w:lang w:val="nl-BE"/>
        </w:rPr>
        <w:t>gestegen door de extra budgetten die ter beschikking gesteld zijn in kader van bosuitbreiding en Blue Deal</w:t>
      </w:r>
      <w:r w:rsidR="009074DB">
        <w:rPr>
          <w:rFonts w:eastAsia="Verdana"/>
          <w:szCs w:val="20"/>
          <w:lang w:val="nl-BE"/>
        </w:rPr>
        <w:t xml:space="preserve"> (Vlaamse Veerkracht)</w:t>
      </w:r>
      <w:r w:rsidR="003B1F73">
        <w:rPr>
          <w:rFonts w:eastAsia="Verdana"/>
          <w:szCs w:val="20"/>
          <w:lang w:val="nl-BE"/>
        </w:rPr>
        <w:t>.</w:t>
      </w:r>
    </w:p>
    <w:p w14:paraId="318F8048" w14:textId="77777777" w:rsidR="00C81FB3" w:rsidRDefault="00C81FB3" w:rsidP="00B92F76">
      <w:pPr>
        <w:pStyle w:val="Nummering"/>
        <w:numPr>
          <w:ilvl w:val="0"/>
          <w:numId w:val="0"/>
        </w:numPr>
        <w:spacing w:after="0"/>
        <w:ind w:left="357"/>
        <w:rPr>
          <w:rFonts w:eastAsia="Verdana"/>
          <w:szCs w:val="20"/>
          <w:lang w:val="nl-BE"/>
        </w:rPr>
      </w:pPr>
    </w:p>
    <w:p w14:paraId="4EF04D46" w14:textId="0E4DFAB6" w:rsidR="00C81FB3" w:rsidRPr="004D3E2B" w:rsidRDefault="00C81FB3" w:rsidP="00B92F76">
      <w:pPr>
        <w:pStyle w:val="Nummering"/>
        <w:numPr>
          <w:ilvl w:val="0"/>
          <w:numId w:val="0"/>
        </w:numPr>
        <w:spacing w:after="0"/>
        <w:ind w:left="357"/>
        <w:rPr>
          <w:rFonts w:eastAsia="Verdana"/>
          <w:i/>
          <w:iCs/>
          <w:szCs w:val="20"/>
          <w:lang w:val="nl-BE"/>
        </w:rPr>
      </w:pPr>
      <w:r w:rsidRPr="004D3E2B">
        <w:rPr>
          <w:rFonts w:eastAsia="Verdana"/>
          <w:i/>
          <w:iCs/>
          <w:szCs w:val="20"/>
          <w:lang w:val="nl-BE"/>
        </w:rPr>
        <w:t xml:space="preserve">Tabel 1: </w:t>
      </w:r>
      <w:r w:rsidR="004D3E2B" w:rsidRPr="004D3E2B">
        <w:rPr>
          <w:rFonts w:eastAsia="Verdana"/>
          <w:i/>
          <w:iCs/>
          <w:szCs w:val="20"/>
          <w:lang w:val="nl-BE"/>
        </w:rPr>
        <w:t>Budget voor de aankoop van gronden door ANB.</w:t>
      </w:r>
    </w:p>
    <w:p w14:paraId="7FB26965" w14:textId="353831CB" w:rsidR="009406E7" w:rsidRDefault="009406E7" w:rsidP="00B92F76">
      <w:pPr>
        <w:pStyle w:val="Nummering"/>
        <w:numPr>
          <w:ilvl w:val="0"/>
          <w:numId w:val="0"/>
        </w:numPr>
        <w:spacing w:after="0"/>
        <w:rPr>
          <w:rFonts w:eastAsia="Verdana"/>
          <w:color w:val="FF0000"/>
          <w:szCs w:val="20"/>
          <w:lang w:val="nl-BE"/>
        </w:rPr>
      </w:pPr>
    </w:p>
    <w:tbl>
      <w:tblPr>
        <w:tblW w:w="58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1417"/>
        <w:gridCol w:w="1701"/>
      </w:tblGrid>
      <w:tr w:rsidR="008C3844" w:rsidRPr="008C3844" w14:paraId="315D9327" w14:textId="77777777" w:rsidTr="00027775">
        <w:trPr>
          <w:trHeight w:val="780"/>
        </w:trPr>
        <w:tc>
          <w:tcPr>
            <w:tcW w:w="850" w:type="dxa"/>
            <w:shd w:val="clear" w:color="auto" w:fill="auto"/>
            <w:hideMark/>
          </w:tcPr>
          <w:p w14:paraId="4382E2AF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>Jaar</w:t>
            </w:r>
          </w:p>
        </w:tc>
        <w:tc>
          <w:tcPr>
            <w:tcW w:w="1843" w:type="dxa"/>
            <w:shd w:val="clear" w:color="auto" w:fill="auto"/>
            <w:hideMark/>
          </w:tcPr>
          <w:p w14:paraId="0F3F34FC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>Boscompensatie budget (k€)</w:t>
            </w:r>
          </w:p>
        </w:tc>
        <w:tc>
          <w:tcPr>
            <w:tcW w:w="1417" w:type="dxa"/>
            <w:shd w:val="clear" w:color="auto" w:fill="auto"/>
            <w:hideMark/>
          </w:tcPr>
          <w:p w14:paraId="06E0601F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Regulier </w:t>
            </w:r>
            <w:proofErr w:type="spellStart"/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>aankoop-budget</w:t>
            </w:r>
            <w:proofErr w:type="spellEnd"/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(k€)</w:t>
            </w:r>
          </w:p>
        </w:tc>
        <w:tc>
          <w:tcPr>
            <w:tcW w:w="1701" w:type="dxa"/>
            <w:shd w:val="clear" w:color="auto" w:fill="auto"/>
            <w:hideMark/>
          </w:tcPr>
          <w:p w14:paraId="68D43E0E" w14:textId="38314E9A" w:rsidR="008C3844" w:rsidRPr="008C3844" w:rsidRDefault="008C3844" w:rsidP="00B92F7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Totaal </w:t>
            </w:r>
            <w:proofErr w:type="spellStart"/>
            <w:r w:rsidR="00027775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>aankoop-</w:t>
            </w:r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>budget</w:t>
            </w:r>
            <w:proofErr w:type="spellEnd"/>
            <w:r w:rsidRPr="008C3844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(k€)</w:t>
            </w:r>
          </w:p>
        </w:tc>
      </w:tr>
      <w:tr w:rsidR="008C3844" w:rsidRPr="008C3844" w14:paraId="7DDED78E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6DE30081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2012</w:t>
            </w:r>
          </w:p>
        </w:tc>
        <w:tc>
          <w:tcPr>
            <w:tcW w:w="1843" w:type="dxa"/>
            <w:shd w:val="clear" w:color="auto" w:fill="auto"/>
            <w:hideMark/>
          </w:tcPr>
          <w:p w14:paraId="38973DB0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3.151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266746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15.333</w:t>
            </w:r>
          </w:p>
        </w:tc>
        <w:tc>
          <w:tcPr>
            <w:tcW w:w="1701" w:type="dxa"/>
            <w:shd w:val="clear" w:color="auto" w:fill="auto"/>
            <w:hideMark/>
          </w:tcPr>
          <w:p w14:paraId="6554B634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18.484</w:t>
            </w:r>
          </w:p>
        </w:tc>
      </w:tr>
      <w:tr w:rsidR="008C3844" w:rsidRPr="008C3844" w14:paraId="70BE381D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69006DA7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2013</w:t>
            </w:r>
          </w:p>
        </w:tc>
        <w:tc>
          <w:tcPr>
            <w:tcW w:w="1843" w:type="dxa"/>
            <w:shd w:val="clear" w:color="auto" w:fill="auto"/>
            <w:hideMark/>
          </w:tcPr>
          <w:p w14:paraId="507B7E4D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3.470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A939A0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14.368</w:t>
            </w:r>
          </w:p>
        </w:tc>
        <w:tc>
          <w:tcPr>
            <w:tcW w:w="1701" w:type="dxa"/>
            <w:shd w:val="clear" w:color="auto" w:fill="auto"/>
            <w:hideMark/>
          </w:tcPr>
          <w:p w14:paraId="731466F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17.838</w:t>
            </w:r>
          </w:p>
        </w:tc>
      </w:tr>
      <w:tr w:rsidR="008C3844" w:rsidRPr="008C3844" w14:paraId="50EFA272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4C7BA77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2014</w:t>
            </w:r>
          </w:p>
        </w:tc>
        <w:tc>
          <w:tcPr>
            <w:tcW w:w="1843" w:type="dxa"/>
            <w:shd w:val="clear" w:color="auto" w:fill="auto"/>
            <w:hideMark/>
          </w:tcPr>
          <w:p w14:paraId="3ED3A47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2.780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586FB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11.398</w:t>
            </w:r>
          </w:p>
        </w:tc>
        <w:tc>
          <w:tcPr>
            <w:tcW w:w="1701" w:type="dxa"/>
            <w:shd w:val="clear" w:color="auto" w:fill="auto"/>
            <w:hideMark/>
          </w:tcPr>
          <w:p w14:paraId="53C1E80A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14.178</w:t>
            </w:r>
          </w:p>
        </w:tc>
      </w:tr>
      <w:tr w:rsidR="008C3844" w:rsidRPr="008C3844" w14:paraId="6C38B3CE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1437CEF3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2015</w:t>
            </w:r>
          </w:p>
        </w:tc>
        <w:tc>
          <w:tcPr>
            <w:tcW w:w="1843" w:type="dxa"/>
            <w:shd w:val="clear" w:color="auto" w:fill="auto"/>
            <w:hideMark/>
          </w:tcPr>
          <w:p w14:paraId="3C0B0A75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398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9CFD9A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9.157</w:t>
            </w:r>
          </w:p>
        </w:tc>
        <w:tc>
          <w:tcPr>
            <w:tcW w:w="1701" w:type="dxa"/>
            <w:shd w:val="clear" w:color="auto" w:fill="auto"/>
            <w:hideMark/>
          </w:tcPr>
          <w:p w14:paraId="37B9C148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9.555</w:t>
            </w:r>
          </w:p>
        </w:tc>
      </w:tr>
      <w:tr w:rsidR="008C3844" w:rsidRPr="008C3844" w14:paraId="683E85F3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5656DF1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2016</w:t>
            </w:r>
          </w:p>
        </w:tc>
        <w:tc>
          <w:tcPr>
            <w:tcW w:w="1843" w:type="dxa"/>
            <w:shd w:val="clear" w:color="auto" w:fill="auto"/>
            <w:hideMark/>
          </w:tcPr>
          <w:p w14:paraId="5DB88B7B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3.256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CBD4A3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13.902</w:t>
            </w:r>
          </w:p>
        </w:tc>
        <w:tc>
          <w:tcPr>
            <w:tcW w:w="1701" w:type="dxa"/>
            <w:shd w:val="clear" w:color="auto" w:fill="auto"/>
            <w:hideMark/>
          </w:tcPr>
          <w:p w14:paraId="25A93AB9" w14:textId="79386BE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17</w:t>
            </w:r>
            <w:r w:rsidR="00D76CAA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.</w:t>
            </w: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158</w:t>
            </w:r>
          </w:p>
        </w:tc>
      </w:tr>
      <w:tr w:rsidR="008C3844" w:rsidRPr="008C3844" w14:paraId="3CF11AF1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41A5A4B4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2017</w:t>
            </w:r>
          </w:p>
        </w:tc>
        <w:tc>
          <w:tcPr>
            <w:tcW w:w="1843" w:type="dxa"/>
            <w:shd w:val="clear" w:color="auto" w:fill="auto"/>
            <w:hideMark/>
          </w:tcPr>
          <w:p w14:paraId="0AAC56AD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6.072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85D0B1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16.979</w:t>
            </w:r>
          </w:p>
        </w:tc>
        <w:tc>
          <w:tcPr>
            <w:tcW w:w="1701" w:type="dxa"/>
            <w:shd w:val="clear" w:color="auto" w:fill="auto"/>
            <w:hideMark/>
          </w:tcPr>
          <w:p w14:paraId="78A3BF5C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23.051</w:t>
            </w:r>
          </w:p>
        </w:tc>
      </w:tr>
      <w:tr w:rsidR="008C3844" w:rsidRPr="008C3844" w14:paraId="2285CE74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08A36665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2018</w:t>
            </w:r>
          </w:p>
        </w:tc>
        <w:tc>
          <w:tcPr>
            <w:tcW w:w="1843" w:type="dxa"/>
            <w:shd w:val="clear" w:color="auto" w:fill="auto"/>
            <w:hideMark/>
          </w:tcPr>
          <w:p w14:paraId="7F9BF82B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2.180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8C94C4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25.978</w:t>
            </w:r>
          </w:p>
        </w:tc>
        <w:tc>
          <w:tcPr>
            <w:tcW w:w="1701" w:type="dxa"/>
            <w:shd w:val="clear" w:color="auto" w:fill="auto"/>
            <w:hideMark/>
          </w:tcPr>
          <w:p w14:paraId="3533E285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28.159</w:t>
            </w:r>
          </w:p>
        </w:tc>
      </w:tr>
      <w:tr w:rsidR="008C3844" w:rsidRPr="008C3844" w14:paraId="26F74202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024DEC38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2019</w:t>
            </w:r>
          </w:p>
        </w:tc>
        <w:tc>
          <w:tcPr>
            <w:tcW w:w="1843" w:type="dxa"/>
            <w:shd w:val="clear" w:color="auto" w:fill="auto"/>
            <w:hideMark/>
          </w:tcPr>
          <w:p w14:paraId="026BDD0A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9.783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0B810D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19.711</w:t>
            </w:r>
          </w:p>
        </w:tc>
        <w:tc>
          <w:tcPr>
            <w:tcW w:w="1701" w:type="dxa"/>
            <w:shd w:val="clear" w:color="auto" w:fill="auto"/>
            <w:hideMark/>
          </w:tcPr>
          <w:p w14:paraId="7762DE4E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29.493</w:t>
            </w:r>
          </w:p>
        </w:tc>
      </w:tr>
      <w:tr w:rsidR="008C3844" w:rsidRPr="008C3844" w14:paraId="78DDA5C3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76AC2150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2020</w:t>
            </w:r>
          </w:p>
        </w:tc>
        <w:tc>
          <w:tcPr>
            <w:tcW w:w="1843" w:type="dxa"/>
            <w:shd w:val="clear" w:color="auto" w:fill="auto"/>
            <w:hideMark/>
          </w:tcPr>
          <w:p w14:paraId="4486EB0E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6.142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F44EA2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34.895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794875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41.037</w:t>
            </w:r>
          </w:p>
        </w:tc>
      </w:tr>
      <w:tr w:rsidR="008C3844" w:rsidRPr="008C3844" w14:paraId="5611503B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6A2D344E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2021</w:t>
            </w:r>
          </w:p>
        </w:tc>
        <w:tc>
          <w:tcPr>
            <w:tcW w:w="1843" w:type="dxa"/>
            <w:shd w:val="clear" w:color="auto" w:fill="auto"/>
            <w:hideMark/>
          </w:tcPr>
          <w:p w14:paraId="633C87F3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5.377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385989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34.293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CF9199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39.670</w:t>
            </w:r>
          </w:p>
        </w:tc>
      </w:tr>
      <w:tr w:rsidR="008C3844" w:rsidRPr="008C3844" w14:paraId="2E08A51C" w14:textId="77777777" w:rsidTr="00027775">
        <w:trPr>
          <w:trHeight w:val="290"/>
        </w:trPr>
        <w:tc>
          <w:tcPr>
            <w:tcW w:w="850" w:type="dxa"/>
            <w:shd w:val="clear" w:color="auto" w:fill="auto"/>
            <w:hideMark/>
          </w:tcPr>
          <w:p w14:paraId="713FC35E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2022</w:t>
            </w:r>
          </w:p>
        </w:tc>
        <w:tc>
          <w:tcPr>
            <w:tcW w:w="1843" w:type="dxa"/>
            <w:shd w:val="clear" w:color="auto" w:fill="auto"/>
            <w:hideMark/>
          </w:tcPr>
          <w:p w14:paraId="3636E87B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5.952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818FEC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61.555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7B3763" w14:textId="77777777" w:rsidR="008C3844" w:rsidRPr="008C3844" w:rsidRDefault="008C3844" w:rsidP="00B92F7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</w:pPr>
            <w:r w:rsidRPr="008C3844">
              <w:rPr>
                <w:rFonts w:ascii="Verdana" w:hAnsi="Verdana" w:cs="Arial"/>
                <w:color w:val="000000"/>
                <w:sz w:val="18"/>
                <w:szCs w:val="18"/>
                <w:lang w:val="nl-BE" w:eastAsia="nl-BE"/>
              </w:rPr>
              <w:t>67.506</w:t>
            </w:r>
          </w:p>
        </w:tc>
      </w:tr>
    </w:tbl>
    <w:p w14:paraId="6B8131F5" w14:textId="77777777" w:rsidR="006512DD" w:rsidRDefault="006512DD" w:rsidP="00B92F76">
      <w:pPr>
        <w:pStyle w:val="Nummering"/>
        <w:numPr>
          <w:ilvl w:val="0"/>
          <w:numId w:val="0"/>
        </w:numPr>
        <w:spacing w:after="0"/>
        <w:rPr>
          <w:rFonts w:eastAsia="Verdana"/>
          <w:color w:val="FF0000"/>
          <w:szCs w:val="20"/>
          <w:lang w:val="nl-BE"/>
        </w:rPr>
      </w:pPr>
    </w:p>
    <w:p w14:paraId="4337B05D" w14:textId="77777777" w:rsidR="00CF48E5" w:rsidRDefault="00CF48E5" w:rsidP="00B92F76">
      <w:pPr>
        <w:pStyle w:val="Nummering"/>
        <w:numPr>
          <w:ilvl w:val="0"/>
          <w:numId w:val="2"/>
        </w:numPr>
        <w:spacing w:after="0"/>
        <w:rPr>
          <w:szCs w:val="20"/>
          <w:lang w:val="nl-BE"/>
        </w:rPr>
      </w:pPr>
      <w:r w:rsidRPr="00CF48E5">
        <w:rPr>
          <w:szCs w:val="20"/>
          <w:lang w:val="nl-BE"/>
        </w:rPr>
        <w:t>De gronden verworven door Natuurpunt worden niet bijgehouden in een GIS-laag. Derhalve is niet geweten hoeveel hectare van de aangekochte grond is gelegen in bestemming landbouw.</w:t>
      </w:r>
    </w:p>
    <w:p w14:paraId="7E9E02D3" w14:textId="77777777" w:rsidR="00DD69BF" w:rsidRDefault="00DD69BF" w:rsidP="00B92F76">
      <w:pPr>
        <w:pStyle w:val="Nummering"/>
        <w:numPr>
          <w:ilvl w:val="0"/>
          <w:numId w:val="0"/>
        </w:numPr>
        <w:spacing w:after="0"/>
        <w:ind w:left="360"/>
        <w:rPr>
          <w:szCs w:val="20"/>
          <w:lang w:val="nl-BE"/>
        </w:rPr>
      </w:pPr>
    </w:p>
    <w:p w14:paraId="1B55DE74" w14:textId="6F71DFA7" w:rsidR="00DD69BF" w:rsidRDefault="00BC7956" w:rsidP="00B92F76">
      <w:pPr>
        <w:pStyle w:val="Nummering"/>
        <w:numPr>
          <w:ilvl w:val="0"/>
          <w:numId w:val="0"/>
        </w:numPr>
        <w:spacing w:after="0"/>
        <w:ind w:left="360"/>
        <w:rPr>
          <w:szCs w:val="20"/>
          <w:lang w:val="nl-BE"/>
        </w:rPr>
      </w:pPr>
      <w:r w:rsidRPr="00CF48E5">
        <w:rPr>
          <w:szCs w:val="20"/>
          <w:lang w:val="nl-BE"/>
        </w:rPr>
        <w:t>Het ANB houdt vanaf 2019 de aangekochte gronden</w:t>
      </w:r>
      <w:r w:rsidR="00043E5F">
        <w:rPr>
          <w:szCs w:val="20"/>
          <w:lang w:val="nl-BE"/>
        </w:rPr>
        <w:t xml:space="preserve"> </w:t>
      </w:r>
      <w:r w:rsidRPr="00CF48E5">
        <w:rPr>
          <w:spacing w:val="-68"/>
          <w:szCs w:val="20"/>
          <w:lang w:val="nl-BE"/>
        </w:rPr>
        <w:t xml:space="preserve"> </w:t>
      </w:r>
      <w:r w:rsidRPr="00CF48E5">
        <w:rPr>
          <w:szCs w:val="20"/>
          <w:lang w:val="nl-BE"/>
        </w:rPr>
        <w:t>bij in een GIS-laag. Dit maakt dat vanaf 2019 GIS bevragingen kunnen</w:t>
      </w:r>
      <w:r w:rsidRPr="00CF48E5">
        <w:rPr>
          <w:spacing w:val="1"/>
          <w:szCs w:val="20"/>
          <w:lang w:val="nl-BE"/>
        </w:rPr>
        <w:t xml:space="preserve"> </w:t>
      </w:r>
      <w:r w:rsidRPr="00CF48E5">
        <w:rPr>
          <w:szCs w:val="20"/>
          <w:lang w:val="nl-BE"/>
        </w:rPr>
        <w:t>uitgevoerd worden</w:t>
      </w:r>
      <w:r w:rsidRPr="00CF48E5">
        <w:rPr>
          <w:spacing w:val="-1"/>
          <w:szCs w:val="20"/>
          <w:lang w:val="nl-BE"/>
        </w:rPr>
        <w:t xml:space="preserve"> </w:t>
      </w:r>
      <w:r w:rsidR="00043E5F">
        <w:rPr>
          <w:spacing w:val="-1"/>
          <w:szCs w:val="20"/>
          <w:lang w:val="nl-BE"/>
        </w:rPr>
        <w:t>om de</w:t>
      </w:r>
      <w:r w:rsidRPr="00CF48E5">
        <w:rPr>
          <w:spacing w:val="-1"/>
          <w:szCs w:val="20"/>
          <w:lang w:val="nl-BE"/>
        </w:rPr>
        <w:t xml:space="preserve"> </w:t>
      </w:r>
      <w:r w:rsidRPr="00CF48E5">
        <w:rPr>
          <w:szCs w:val="20"/>
          <w:lang w:val="nl-BE"/>
        </w:rPr>
        <w:t>ruimtelijke bestemming</w:t>
      </w:r>
      <w:r w:rsidR="00043E5F">
        <w:rPr>
          <w:szCs w:val="20"/>
          <w:lang w:val="nl-BE"/>
        </w:rPr>
        <w:t xml:space="preserve"> </w:t>
      </w:r>
      <w:r w:rsidR="00043E5F">
        <w:rPr>
          <w:szCs w:val="20"/>
          <w:lang w:val="nl-BE"/>
        </w:rPr>
        <w:lastRenderedPageBreak/>
        <w:t>van de verworven gronden te kennen</w:t>
      </w:r>
      <w:r w:rsidR="00B86D20">
        <w:rPr>
          <w:szCs w:val="20"/>
          <w:lang w:val="nl-BE"/>
        </w:rPr>
        <w:t xml:space="preserve"> (resultaat: zie</w:t>
      </w:r>
      <w:r w:rsidR="00043E5F">
        <w:rPr>
          <w:szCs w:val="20"/>
          <w:lang w:val="nl-BE"/>
        </w:rPr>
        <w:t xml:space="preserve"> tabel </w:t>
      </w:r>
      <w:r w:rsidR="009406E7">
        <w:rPr>
          <w:szCs w:val="20"/>
          <w:lang w:val="nl-BE"/>
        </w:rPr>
        <w:t>2</w:t>
      </w:r>
      <w:r w:rsidR="00B86D20">
        <w:rPr>
          <w:szCs w:val="20"/>
          <w:lang w:val="nl-BE"/>
        </w:rPr>
        <w:t>). Uit deze cijfers blijft dat sedert 2019 gemiddeld 1/3 van de aangekochte gronden gelegen was in een gele gewestplanbestemming.</w:t>
      </w:r>
      <w:r w:rsidR="00844CAE">
        <w:rPr>
          <w:szCs w:val="20"/>
          <w:lang w:val="nl-BE"/>
        </w:rPr>
        <w:t xml:space="preserve"> Dit </w:t>
      </w:r>
      <w:r w:rsidR="007C7B13">
        <w:rPr>
          <w:szCs w:val="20"/>
          <w:lang w:val="nl-BE"/>
        </w:rPr>
        <w:t>aandeel</w:t>
      </w:r>
      <w:r w:rsidR="00844CAE">
        <w:rPr>
          <w:szCs w:val="20"/>
          <w:lang w:val="nl-BE"/>
        </w:rPr>
        <w:t xml:space="preserve"> is niet veranderd over de jaren heen.</w:t>
      </w:r>
      <w:r w:rsidR="00DD69BF">
        <w:rPr>
          <w:szCs w:val="20"/>
          <w:lang w:val="nl-BE"/>
        </w:rPr>
        <w:t xml:space="preserve"> Belangrijk is wel te weten dat het elke “gele” gewestplanbestemming betreft, en dit </w:t>
      </w:r>
    </w:p>
    <w:p w14:paraId="55F4AEB5" w14:textId="160A7BA9" w:rsidR="00DD69BF" w:rsidRDefault="00DD69BF" w:rsidP="00B92F76">
      <w:pPr>
        <w:pStyle w:val="Nummering"/>
        <w:numPr>
          <w:ilvl w:val="0"/>
          <w:numId w:val="4"/>
        </w:numPr>
        <w:spacing w:after="0"/>
        <w:rPr>
          <w:szCs w:val="20"/>
          <w:lang w:val="nl-BE"/>
        </w:rPr>
      </w:pPr>
      <w:r>
        <w:rPr>
          <w:szCs w:val="20"/>
          <w:lang w:val="nl-BE"/>
        </w:rPr>
        <w:t>zowel binnen als buiten speciale beschermingszones. Dus percelen die gelegen zijn binnen een habitat- of vogelrichtlijngebied en een agrarische bestemming hebben zijn hier inbegrepen;</w:t>
      </w:r>
    </w:p>
    <w:p w14:paraId="397ADFA0" w14:textId="53B535B4" w:rsidR="00DD69BF" w:rsidRDefault="00DD69BF" w:rsidP="00B92F76">
      <w:pPr>
        <w:pStyle w:val="Nummering"/>
        <w:numPr>
          <w:ilvl w:val="0"/>
          <w:numId w:val="4"/>
        </w:numPr>
        <w:spacing w:after="0"/>
        <w:rPr>
          <w:szCs w:val="20"/>
          <w:lang w:val="nl-BE"/>
        </w:rPr>
      </w:pPr>
      <w:r>
        <w:rPr>
          <w:szCs w:val="20"/>
          <w:lang w:val="nl-BE"/>
        </w:rPr>
        <w:t>voor de brede reeks van agrarische bestemmingen, dus percelen met de bestemmingen brongebied, agrarische gebieden met ecologisch belang, valleigebied enz. zijn hier ook inbegrepen.</w:t>
      </w:r>
    </w:p>
    <w:p w14:paraId="2D9A03E3" w14:textId="77777777" w:rsidR="00AF55B9" w:rsidRPr="006563AC" w:rsidRDefault="00AF55B9" w:rsidP="00B92F76">
      <w:pPr>
        <w:pStyle w:val="Nummering"/>
        <w:numPr>
          <w:ilvl w:val="0"/>
          <w:numId w:val="0"/>
        </w:numPr>
        <w:spacing w:after="0"/>
        <w:rPr>
          <w:szCs w:val="20"/>
          <w:lang w:val="nl-BE"/>
        </w:rPr>
      </w:pPr>
    </w:p>
    <w:p w14:paraId="02719E21" w14:textId="4773FB9F" w:rsidR="00176D2F" w:rsidRDefault="00AF55B9" w:rsidP="00B92F76">
      <w:pPr>
        <w:pStyle w:val="Nummering"/>
        <w:numPr>
          <w:ilvl w:val="0"/>
          <w:numId w:val="0"/>
        </w:numPr>
        <w:spacing w:after="0"/>
        <w:ind w:left="425"/>
        <w:rPr>
          <w:i/>
          <w:iCs/>
          <w:szCs w:val="20"/>
          <w:lang w:val="nl-BE"/>
        </w:rPr>
      </w:pPr>
      <w:r w:rsidRPr="006563AC">
        <w:rPr>
          <w:i/>
          <w:iCs/>
          <w:szCs w:val="20"/>
          <w:lang w:val="nl-BE"/>
        </w:rPr>
        <w:t xml:space="preserve">Tabel </w:t>
      </w:r>
      <w:r w:rsidR="009406E7">
        <w:rPr>
          <w:i/>
          <w:iCs/>
          <w:szCs w:val="20"/>
          <w:lang w:val="nl-BE"/>
        </w:rPr>
        <w:t>2</w:t>
      </w:r>
      <w:r w:rsidR="00C81FB3">
        <w:rPr>
          <w:i/>
          <w:iCs/>
          <w:szCs w:val="20"/>
          <w:lang w:val="nl-BE"/>
        </w:rPr>
        <w:t>:</w:t>
      </w:r>
      <w:r w:rsidRPr="006563AC">
        <w:rPr>
          <w:i/>
          <w:iCs/>
          <w:szCs w:val="20"/>
          <w:lang w:val="nl-BE"/>
        </w:rPr>
        <w:t xml:space="preserve"> </w:t>
      </w:r>
      <w:r w:rsidR="00D76DA0">
        <w:rPr>
          <w:i/>
          <w:iCs/>
          <w:szCs w:val="20"/>
          <w:lang w:val="nl-BE"/>
        </w:rPr>
        <w:t>Totale o</w:t>
      </w:r>
      <w:r w:rsidRPr="006563AC">
        <w:rPr>
          <w:i/>
          <w:iCs/>
          <w:szCs w:val="20"/>
          <w:lang w:val="nl-BE"/>
        </w:rPr>
        <w:t xml:space="preserve">ppervlakte verworven door ANB en </w:t>
      </w:r>
      <w:r w:rsidR="00844CAE">
        <w:rPr>
          <w:i/>
          <w:iCs/>
          <w:szCs w:val="20"/>
          <w:lang w:val="nl-BE"/>
        </w:rPr>
        <w:t>oppervlakte</w:t>
      </w:r>
      <w:r w:rsidRPr="006563AC">
        <w:rPr>
          <w:i/>
          <w:iCs/>
          <w:szCs w:val="20"/>
          <w:lang w:val="nl-BE"/>
        </w:rPr>
        <w:t xml:space="preserve"> gelegen in gele </w:t>
      </w:r>
      <w:r w:rsidR="00844CAE">
        <w:rPr>
          <w:i/>
          <w:iCs/>
          <w:szCs w:val="20"/>
          <w:lang w:val="nl-BE"/>
        </w:rPr>
        <w:t>gewestplan</w:t>
      </w:r>
      <w:r w:rsidRPr="006563AC">
        <w:rPr>
          <w:i/>
          <w:iCs/>
          <w:szCs w:val="20"/>
          <w:lang w:val="nl-BE"/>
        </w:rPr>
        <w:t>bestemming.</w:t>
      </w:r>
    </w:p>
    <w:p w14:paraId="4788D58F" w14:textId="77777777" w:rsidR="00B92F76" w:rsidRPr="006563AC" w:rsidRDefault="00B92F76" w:rsidP="00B92F76">
      <w:pPr>
        <w:pStyle w:val="Nummering"/>
        <w:numPr>
          <w:ilvl w:val="0"/>
          <w:numId w:val="0"/>
        </w:numPr>
        <w:spacing w:after="0"/>
        <w:ind w:left="425"/>
        <w:rPr>
          <w:i/>
          <w:iCs/>
          <w:szCs w:val="20"/>
          <w:lang w:val="nl-BE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1249"/>
        <w:gridCol w:w="3503"/>
        <w:gridCol w:w="3776"/>
      </w:tblGrid>
      <w:tr w:rsidR="006563AC" w:rsidRPr="00B86D20" w14:paraId="33A41D87" w14:textId="77777777" w:rsidTr="006A4794">
        <w:tc>
          <w:tcPr>
            <w:tcW w:w="1275" w:type="dxa"/>
          </w:tcPr>
          <w:p w14:paraId="6D5C76A2" w14:textId="3DCD48D4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sz w:val="18"/>
                <w:szCs w:val="18"/>
                <w:lang w:val="nl-BE"/>
              </w:rPr>
            </w:pPr>
            <w:r w:rsidRPr="00B86D20">
              <w:rPr>
                <w:b/>
                <w:bCs/>
                <w:sz w:val="18"/>
                <w:szCs w:val="18"/>
                <w:lang w:val="nl-BE"/>
              </w:rPr>
              <w:t>Jaar</w:t>
            </w:r>
          </w:p>
        </w:tc>
        <w:tc>
          <w:tcPr>
            <w:tcW w:w="3598" w:type="dxa"/>
          </w:tcPr>
          <w:p w14:paraId="0F4021AF" w14:textId="7C04A6BF" w:rsidR="00A63E04" w:rsidRPr="00B86D20" w:rsidRDefault="00AF55B9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sz w:val="18"/>
                <w:szCs w:val="18"/>
                <w:lang w:val="nl-BE"/>
              </w:rPr>
            </w:pPr>
            <w:r w:rsidRPr="00B86D20">
              <w:rPr>
                <w:b/>
                <w:bCs/>
                <w:sz w:val="18"/>
                <w:szCs w:val="18"/>
                <w:lang w:val="nl-BE"/>
              </w:rPr>
              <w:t>Totale o</w:t>
            </w:r>
            <w:r w:rsidR="00A63E04" w:rsidRPr="00B86D20">
              <w:rPr>
                <w:b/>
                <w:bCs/>
                <w:sz w:val="18"/>
                <w:szCs w:val="18"/>
                <w:lang w:val="nl-BE"/>
              </w:rPr>
              <w:t xml:space="preserve">ppervlakte (ha) </w:t>
            </w:r>
            <w:r w:rsidR="006A07E7" w:rsidRPr="00B86D20">
              <w:rPr>
                <w:b/>
                <w:bCs/>
                <w:sz w:val="18"/>
                <w:szCs w:val="18"/>
                <w:lang w:val="nl-BE"/>
              </w:rPr>
              <w:t>verworven</w:t>
            </w:r>
            <w:r w:rsidRPr="00B86D20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A63E04" w:rsidRPr="00B86D20">
              <w:rPr>
                <w:b/>
                <w:bCs/>
                <w:sz w:val="18"/>
                <w:szCs w:val="18"/>
                <w:lang w:val="nl-BE"/>
              </w:rPr>
              <w:t>door ANB</w:t>
            </w:r>
          </w:p>
        </w:tc>
        <w:tc>
          <w:tcPr>
            <w:tcW w:w="3881" w:type="dxa"/>
          </w:tcPr>
          <w:p w14:paraId="2A5901BB" w14:textId="62A6A6F8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b/>
                <w:bCs/>
                <w:sz w:val="18"/>
                <w:szCs w:val="18"/>
                <w:lang w:val="nl-BE"/>
              </w:rPr>
            </w:pPr>
            <w:r w:rsidRPr="00B86D20">
              <w:rPr>
                <w:b/>
                <w:bCs/>
                <w:sz w:val="18"/>
                <w:szCs w:val="18"/>
                <w:lang w:val="nl-BE"/>
              </w:rPr>
              <w:t xml:space="preserve">Oppervlakte (ha) </w:t>
            </w:r>
            <w:r w:rsidR="006A07E7" w:rsidRPr="00B86D20">
              <w:rPr>
                <w:b/>
                <w:bCs/>
                <w:sz w:val="18"/>
                <w:szCs w:val="18"/>
                <w:lang w:val="nl-BE"/>
              </w:rPr>
              <w:t>verworven door ANB en gelegen in gele bestemming</w:t>
            </w:r>
          </w:p>
        </w:tc>
      </w:tr>
      <w:tr w:rsidR="006563AC" w:rsidRPr="00B86D20" w14:paraId="1D9EC57A" w14:textId="77777777" w:rsidTr="006A4794">
        <w:tc>
          <w:tcPr>
            <w:tcW w:w="1275" w:type="dxa"/>
          </w:tcPr>
          <w:p w14:paraId="3A0D9F88" w14:textId="1D4B9D82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2019</w:t>
            </w:r>
          </w:p>
        </w:tc>
        <w:tc>
          <w:tcPr>
            <w:tcW w:w="3598" w:type="dxa"/>
          </w:tcPr>
          <w:p w14:paraId="37ADF5EE" w14:textId="4C383DF1" w:rsidR="00A63E04" w:rsidRPr="00B86D20" w:rsidRDefault="003D3E2F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72</w:t>
            </w:r>
            <w:r w:rsidR="00C45504" w:rsidRPr="00B86D20">
              <w:rPr>
                <w:sz w:val="18"/>
                <w:szCs w:val="18"/>
                <w:lang w:val="nl-BE"/>
              </w:rPr>
              <w:t>4</w:t>
            </w:r>
          </w:p>
        </w:tc>
        <w:tc>
          <w:tcPr>
            <w:tcW w:w="3881" w:type="dxa"/>
          </w:tcPr>
          <w:p w14:paraId="27C076EA" w14:textId="078820DC" w:rsidR="00A63E04" w:rsidRPr="00B86D20" w:rsidRDefault="00E159D1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232</w:t>
            </w:r>
          </w:p>
        </w:tc>
      </w:tr>
      <w:tr w:rsidR="006563AC" w:rsidRPr="00B86D20" w14:paraId="671FBB40" w14:textId="77777777" w:rsidTr="006A4794">
        <w:tc>
          <w:tcPr>
            <w:tcW w:w="1275" w:type="dxa"/>
          </w:tcPr>
          <w:p w14:paraId="6F0AA452" w14:textId="5B9C211E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2020</w:t>
            </w:r>
          </w:p>
        </w:tc>
        <w:tc>
          <w:tcPr>
            <w:tcW w:w="3598" w:type="dxa"/>
          </w:tcPr>
          <w:p w14:paraId="064ED72D" w14:textId="5612EB74" w:rsidR="00A63E04" w:rsidRPr="00B86D20" w:rsidRDefault="009F2281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98</w:t>
            </w:r>
            <w:r w:rsidR="00C45504" w:rsidRPr="00B86D20">
              <w:rPr>
                <w:sz w:val="18"/>
                <w:szCs w:val="18"/>
                <w:lang w:val="nl-BE"/>
              </w:rPr>
              <w:t>5</w:t>
            </w:r>
          </w:p>
        </w:tc>
        <w:tc>
          <w:tcPr>
            <w:tcW w:w="3881" w:type="dxa"/>
          </w:tcPr>
          <w:p w14:paraId="19A196B7" w14:textId="4CBD1D8B" w:rsidR="00A63E04" w:rsidRPr="00B86D20" w:rsidRDefault="00E159D1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337</w:t>
            </w:r>
          </w:p>
        </w:tc>
      </w:tr>
      <w:tr w:rsidR="006563AC" w:rsidRPr="00B86D20" w14:paraId="5A7AC7FE" w14:textId="77777777" w:rsidTr="006A4794">
        <w:tc>
          <w:tcPr>
            <w:tcW w:w="1275" w:type="dxa"/>
          </w:tcPr>
          <w:p w14:paraId="475F7F1C" w14:textId="308B477B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2021</w:t>
            </w:r>
          </w:p>
        </w:tc>
        <w:tc>
          <w:tcPr>
            <w:tcW w:w="3598" w:type="dxa"/>
          </w:tcPr>
          <w:p w14:paraId="359C2E7D" w14:textId="5C233D54" w:rsidR="00A63E04" w:rsidRPr="00B86D20" w:rsidRDefault="00B83B2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1.130</w:t>
            </w:r>
          </w:p>
        </w:tc>
        <w:tc>
          <w:tcPr>
            <w:tcW w:w="3881" w:type="dxa"/>
          </w:tcPr>
          <w:p w14:paraId="43B038AB" w14:textId="0A39C315" w:rsidR="00A63E04" w:rsidRPr="00B86D20" w:rsidRDefault="00C455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394</w:t>
            </w:r>
          </w:p>
        </w:tc>
      </w:tr>
      <w:tr w:rsidR="00B86D20" w:rsidRPr="00B86D20" w14:paraId="4143CE75" w14:textId="77777777" w:rsidTr="006A4794">
        <w:tc>
          <w:tcPr>
            <w:tcW w:w="1275" w:type="dxa"/>
          </w:tcPr>
          <w:p w14:paraId="33574D3E" w14:textId="7D349E3F" w:rsidR="00A63E04" w:rsidRPr="00B86D20" w:rsidRDefault="00A63E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2022</w:t>
            </w:r>
          </w:p>
        </w:tc>
        <w:tc>
          <w:tcPr>
            <w:tcW w:w="3598" w:type="dxa"/>
          </w:tcPr>
          <w:p w14:paraId="373B0191" w14:textId="07F029BE" w:rsidR="00A63E04" w:rsidRPr="00B86D20" w:rsidRDefault="00FA137D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1.429</w:t>
            </w:r>
          </w:p>
        </w:tc>
        <w:tc>
          <w:tcPr>
            <w:tcW w:w="3881" w:type="dxa"/>
          </w:tcPr>
          <w:p w14:paraId="6DB7DA6F" w14:textId="60E5C448" w:rsidR="00A63E04" w:rsidRPr="00B86D20" w:rsidRDefault="00C45504" w:rsidP="00B92F76">
            <w:pPr>
              <w:pStyle w:val="Nummering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nl-BE"/>
              </w:rPr>
            </w:pPr>
            <w:r w:rsidRPr="00B86D20">
              <w:rPr>
                <w:sz w:val="18"/>
                <w:szCs w:val="18"/>
                <w:lang w:val="nl-BE"/>
              </w:rPr>
              <w:t>464</w:t>
            </w:r>
          </w:p>
        </w:tc>
      </w:tr>
    </w:tbl>
    <w:p w14:paraId="7CE04FD4" w14:textId="77777777" w:rsidR="001D5C17" w:rsidRPr="006563AC" w:rsidRDefault="001D5C17" w:rsidP="00B92F76">
      <w:pPr>
        <w:rPr>
          <w:rFonts w:ascii="Verdana" w:hAnsi="Verdana"/>
          <w:sz w:val="20"/>
          <w:lang w:val="nl-BE"/>
        </w:rPr>
      </w:pPr>
    </w:p>
    <w:sectPr w:rsidR="001D5C17" w:rsidRPr="0065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2C1E" w14:textId="77777777" w:rsidR="00A47308" w:rsidRDefault="00A47308" w:rsidP="00C82F8E">
      <w:r>
        <w:separator/>
      </w:r>
    </w:p>
  </w:endnote>
  <w:endnote w:type="continuationSeparator" w:id="0">
    <w:p w14:paraId="13A981F1" w14:textId="77777777" w:rsidR="00A47308" w:rsidRDefault="00A47308" w:rsidP="00C8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A6EB" w14:textId="77777777" w:rsidR="00A47308" w:rsidRDefault="00A47308" w:rsidP="00C82F8E">
      <w:r>
        <w:separator/>
      </w:r>
    </w:p>
  </w:footnote>
  <w:footnote w:type="continuationSeparator" w:id="0">
    <w:p w14:paraId="3A5CA972" w14:textId="77777777" w:rsidR="00A47308" w:rsidRDefault="00A47308" w:rsidP="00C8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1CF"/>
    <w:multiLevelType w:val="hybridMultilevel"/>
    <w:tmpl w:val="8CCA8A2E"/>
    <w:lvl w:ilvl="0" w:tplc="741A98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B7B"/>
    <w:multiLevelType w:val="hybridMultilevel"/>
    <w:tmpl w:val="99CA8060"/>
    <w:lvl w:ilvl="0" w:tplc="0978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23682"/>
    <w:multiLevelType w:val="multilevel"/>
    <w:tmpl w:val="7A92B100"/>
    <w:lvl w:ilvl="0">
      <w:start w:val="2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F457F76"/>
    <w:multiLevelType w:val="hybridMultilevel"/>
    <w:tmpl w:val="4A506534"/>
    <w:lvl w:ilvl="0" w:tplc="0E6A6B6C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05B4"/>
    <w:multiLevelType w:val="hybridMultilevel"/>
    <w:tmpl w:val="98405D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D5A0E"/>
    <w:multiLevelType w:val="hybridMultilevel"/>
    <w:tmpl w:val="B8AAD2C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28238">
    <w:abstractNumId w:val="2"/>
  </w:num>
  <w:num w:numId="2" w16cid:durableId="1952126213">
    <w:abstractNumId w:val="1"/>
  </w:num>
  <w:num w:numId="3" w16cid:durableId="626858096">
    <w:abstractNumId w:val="3"/>
  </w:num>
  <w:num w:numId="4" w16cid:durableId="952445155">
    <w:abstractNumId w:val="5"/>
  </w:num>
  <w:num w:numId="5" w16cid:durableId="1343898687">
    <w:abstractNumId w:val="4"/>
  </w:num>
  <w:num w:numId="6" w16cid:durableId="1758867368">
    <w:abstractNumId w:val="2"/>
  </w:num>
  <w:num w:numId="7" w16cid:durableId="1039743778">
    <w:abstractNumId w:val="2"/>
  </w:num>
  <w:num w:numId="8" w16cid:durableId="27737190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83"/>
    <w:rsid w:val="0000572E"/>
    <w:rsid w:val="00027775"/>
    <w:rsid w:val="00043E5F"/>
    <w:rsid w:val="0005666F"/>
    <w:rsid w:val="000F1C21"/>
    <w:rsid w:val="00124E79"/>
    <w:rsid w:val="00131809"/>
    <w:rsid w:val="00141789"/>
    <w:rsid w:val="00176D2F"/>
    <w:rsid w:val="001975C0"/>
    <w:rsid w:val="001C2179"/>
    <w:rsid w:val="001D5C17"/>
    <w:rsid w:val="001E0B19"/>
    <w:rsid w:val="001E74AC"/>
    <w:rsid w:val="001F4BD9"/>
    <w:rsid w:val="00214C83"/>
    <w:rsid w:val="002D4395"/>
    <w:rsid w:val="00390081"/>
    <w:rsid w:val="003B1F73"/>
    <w:rsid w:val="003D3E2F"/>
    <w:rsid w:val="0044462C"/>
    <w:rsid w:val="004576AF"/>
    <w:rsid w:val="004D3E2B"/>
    <w:rsid w:val="004D7ED7"/>
    <w:rsid w:val="00517510"/>
    <w:rsid w:val="005801EF"/>
    <w:rsid w:val="005A6C44"/>
    <w:rsid w:val="00621CE8"/>
    <w:rsid w:val="006512DD"/>
    <w:rsid w:val="00651BAE"/>
    <w:rsid w:val="006563AC"/>
    <w:rsid w:val="006A07E7"/>
    <w:rsid w:val="006A4794"/>
    <w:rsid w:val="006B3213"/>
    <w:rsid w:val="006E5C30"/>
    <w:rsid w:val="007C11F4"/>
    <w:rsid w:val="007C7B13"/>
    <w:rsid w:val="007E6253"/>
    <w:rsid w:val="00800421"/>
    <w:rsid w:val="00821058"/>
    <w:rsid w:val="00835C64"/>
    <w:rsid w:val="00844CAE"/>
    <w:rsid w:val="008B7719"/>
    <w:rsid w:val="008C3844"/>
    <w:rsid w:val="009074DB"/>
    <w:rsid w:val="009406E7"/>
    <w:rsid w:val="00940E46"/>
    <w:rsid w:val="009A3DBD"/>
    <w:rsid w:val="009F10C3"/>
    <w:rsid w:val="009F2281"/>
    <w:rsid w:val="00A347E1"/>
    <w:rsid w:val="00A4354B"/>
    <w:rsid w:val="00A45971"/>
    <w:rsid w:val="00A47308"/>
    <w:rsid w:val="00A47539"/>
    <w:rsid w:val="00A63E04"/>
    <w:rsid w:val="00AA41BC"/>
    <w:rsid w:val="00AD7C78"/>
    <w:rsid w:val="00AF3C88"/>
    <w:rsid w:val="00AF55B9"/>
    <w:rsid w:val="00B405D2"/>
    <w:rsid w:val="00B4482A"/>
    <w:rsid w:val="00B63EBD"/>
    <w:rsid w:val="00B83B24"/>
    <w:rsid w:val="00B86D20"/>
    <w:rsid w:val="00B92F76"/>
    <w:rsid w:val="00BC7956"/>
    <w:rsid w:val="00BD46AC"/>
    <w:rsid w:val="00C31BFB"/>
    <w:rsid w:val="00C45504"/>
    <w:rsid w:val="00C54494"/>
    <w:rsid w:val="00C81FB3"/>
    <w:rsid w:val="00C82F8E"/>
    <w:rsid w:val="00CD08A2"/>
    <w:rsid w:val="00CF48E5"/>
    <w:rsid w:val="00D210D1"/>
    <w:rsid w:val="00D26AE0"/>
    <w:rsid w:val="00D74C83"/>
    <w:rsid w:val="00D76CAA"/>
    <w:rsid w:val="00D76DA0"/>
    <w:rsid w:val="00DC0737"/>
    <w:rsid w:val="00DD500A"/>
    <w:rsid w:val="00DD69BF"/>
    <w:rsid w:val="00E159D1"/>
    <w:rsid w:val="00E37D78"/>
    <w:rsid w:val="00E47CFD"/>
    <w:rsid w:val="00EA7725"/>
    <w:rsid w:val="00ED5693"/>
    <w:rsid w:val="00F22DE9"/>
    <w:rsid w:val="00F57704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32075"/>
  <w15:docId w15:val="{60662535-54B5-4170-A392-B5848BDC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4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C1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11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11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11F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C11F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nl-BE"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C11F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nl-BE"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C11F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C11F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C11F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C1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C1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C1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C11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C11F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nl-BE" w:eastAsia="en-US"/>
    </w:rPr>
  </w:style>
  <w:style w:type="paragraph" w:styleId="Standaardinspringing">
    <w:name w:val="Normal Indent"/>
    <w:basedOn w:val="Standaard"/>
    <w:uiPriority w:val="99"/>
    <w:semiHidden/>
    <w:unhideWhenUsed/>
    <w:rsid w:val="00B63EBD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C11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C1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7C11F4"/>
    <w:rPr>
      <w:b/>
      <w:bCs/>
    </w:rPr>
  </w:style>
  <w:style w:type="character" w:styleId="Nadruk">
    <w:name w:val="Emphasis"/>
    <w:basedOn w:val="Standaardalinea-lettertype"/>
    <w:uiPriority w:val="20"/>
    <w:qFormat/>
    <w:rsid w:val="007C11F4"/>
    <w:rPr>
      <w:i/>
      <w:iCs/>
    </w:rPr>
  </w:style>
  <w:style w:type="paragraph" w:styleId="Geenafstand">
    <w:name w:val="No Spacing"/>
    <w:uiPriority w:val="1"/>
    <w:qFormat/>
    <w:rsid w:val="007C11F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C1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1F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1F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7C11F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1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1F4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7C11F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C11F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C11F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C11F4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C11F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C11F4"/>
    <w:pPr>
      <w:outlineLvl w:val="9"/>
    </w:pPr>
  </w:style>
  <w:style w:type="paragraph" w:customStyle="1" w:styleId="StandaardSV">
    <w:name w:val="Standaard SV"/>
    <w:basedOn w:val="Standaard"/>
    <w:link w:val="StandaardSVChar"/>
    <w:rsid w:val="00214C83"/>
    <w:pPr>
      <w:jc w:val="both"/>
    </w:pPr>
    <w:rPr>
      <w:sz w:val="22"/>
    </w:rPr>
  </w:style>
  <w:style w:type="character" w:customStyle="1" w:styleId="StandaardSVChar">
    <w:name w:val="Standaard SV Char"/>
    <w:link w:val="StandaardSV"/>
    <w:locked/>
    <w:rsid w:val="00214C83"/>
    <w:rPr>
      <w:rFonts w:ascii="Times New Roman" w:eastAsia="Times New Roman" w:hAnsi="Times New Roman" w:cs="Times New Roman"/>
      <w:szCs w:val="20"/>
      <w:lang w:val="nl-NL" w:eastAsia="nl-NL"/>
    </w:rPr>
  </w:style>
  <w:style w:type="paragraph" w:customStyle="1" w:styleId="Nummering">
    <w:name w:val="Nummering"/>
    <w:basedOn w:val="Lijstalinea"/>
    <w:link w:val="NummeringChar"/>
    <w:qFormat/>
    <w:rsid w:val="001D5C17"/>
    <w:pPr>
      <w:numPr>
        <w:numId w:val="1"/>
      </w:numPr>
      <w:spacing w:after="120" w:line="240" w:lineRule="auto"/>
      <w:contextualSpacing w:val="0"/>
      <w:jc w:val="both"/>
    </w:pPr>
    <w:rPr>
      <w:rFonts w:ascii="Verdana" w:eastAsia="Times New Roman" w:hAnsi="Verdana" w:cs="Times New Roman"/>
      <w:sz w:val="20"/>
      <w:szCs w:val="24"/>
      <w:lang w:val="en-US" w:eastAsia="nl-NL"/>
    </w:rPr>
  </w:style>
  <w:style w:type="character" w:customStyle="1" w:styleId="NummeringChar">
    <w:name w:val="Nummering Char"/>
    <w:link w:val="Nummering"/>
    <w:rsid w:val="001D5C17"/>
    <w:rPr>
      <w:rFonts w:ascii="Verdana" w:eastAsia="Times New Roman" w:hAnsi="Verdana" w:cs="Times New Roman"/>
      <w:sz w:val="20"/>
      <w:szCs w:val="24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00572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unhideWhenUsed/>
    <w:rsid w:val="00A6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B321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45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dt xmlns="03d5240a-782c-4048-8313-d01b5d6ab2a6" xsi:nil="true"/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1564c90271ffa613157a175a0d07685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eeb4339ca5d3091658dcc4c81724215d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" ma:index="24" nillable="true" ma:displayName="dt" ma:format="DateOnly" ma:internalName="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92c40ca-6b7b-4061-8c9a-274061f4e4e2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48767-B7F2-4D77-886E-A1C00CC82FA3}">
  <ds:schemaRefs>
    <ds:schemaRef ds:uri="http://schemas.microsoft.com/office/2006/metadata/properties"/>
    <ds:schemaRef ds:uri="http://schemas.microsoft.com/office/infopath/2007/PartnerControls"/>
    <ds:schemaRef ds:uri="03d5240a-782c-4048-8313-d01b5d6ab2a6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DA9F4231-A516-4A15-9725-71E645470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1DC26-A7ED-422C-9954-866408A5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Van Hellemont</dc:creator>
  <cp:lastModifiedBy>Nathalie De Keyzer</cp:lastModifiedBy>
  <cp:revision>8</cp:revision>
  <dcterms:created xsi:type="dcterms:W3CDTF">2023-03-17T15:08:00Z</dcterms:created>
  <dcterms:modified xsi:type="dcterms:W3CDTF">2023-03-17T15:15:00Z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MediaServiceImageTags">
    <vt:lpwstr/>
  </property>
</Properties>
</file>