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0BC8" w14:textId="77777777" w:rsidR="00214C83" w:rsidRPr="009E1210" w:rsidRDefault="00214C83" w:rsidP="00214C83">
      <w:pPr>
        <w:jc w:val="both"/>
        <w:outlineLvl w:val="0"/>
        <w:rPr>
          <w:rFonts w:ascii="Verdana" w:hAnsi="Verdana"/>
          <w:b/>
          <w:smallCaps/>
          <w:sz w:val="20"/>
          <w:lang w:val="nl-BE"/>
        </w:rPr>
      </w:pPr>
      <w:r w:rsidRPr="009E1210">
        <w:rPr>
          <w:rFonts w:ascii="Verdana" w:hAnsi="Verdana"/>
          <w:b/>
          <w:smallCaps/>
          <w:sz w:val="20"/>
          <w:lang w:val="nl-BE"/>
        </w:rPr>
        <w:t xml:space="preserve">jan jambon </w:t>
      </w:r>
    </w:p>
    <w:p w14:paraId="091DC223" w14:textId="77777777" w:rsidR="00214C83" w:rsidRPr="00CC7F21" w:rsidRDefault="00214C83" w:rsidP="00214C83">
      <w:pPr>
        <w:jc w:val="both"/>
        <w:rPr>
          <w:rFonts w:ascii="Verdana" w:hAnsi="Verdana"/>
          <w:smallCaps/>
          <w:sz w:val="20"/>
          <w:lang w:val="nl-BE"/>
        </w:rPr>
      </w:pPr>
      <w:r w:rsidRPr="009E1210">
        <w:rPr>
          <w:rFonts w:ascii="Verdana" w:hAnsi="Verdana"/>
          <w:smallCaps/>
          <w:sz w:val="20"/>
          <w:lang w:val="nl-BE"/>
        </w:rPr>
        <w:t>minister-president van de vlaamse regering, vlaams minister van buitenlandse zaken, cultuur, digitalisering en facilitair management</w:t>
      </w:r>
    </w:p>
    <w:p w14:paraId="55AD8152" w14:textId="77777777" w:rsidR="00214C83" w:rsidRPr="00CC7F21" w:rsidRDefault="00214C83" w:rsidP="00214C83">
      <w:pPr>
        <w:pStyle w:val="StandaardSV"/>
        <w:pBdr>
          <w:bottom w:val="single" w:sz="4" w:space="1" w:color="auto"/>
        </w:pBdr>
        <w:rPr>
          <w:rFonts w:ascii="Verdana" w:hAnsi="Verdana"/>
          <w:sz w:val="20"/>
          <w:lang w:val="nl-BE"/>
        </w:rPr>
      </w:pPr>
    </w:p>
    <w:p w14:paraId="7C470100" w14:textId="77777777" w:rsidR="00214C83" w:rsidRPr="00CC7F21" w:rsidRDefault="00214C83" w:rsidP="00214C83">
      <w:pPr>
        <w:jc w:val="both"/>
        <w:rPr>
          <w:rFonts w:ascii="Verdana" w:hAnsi="Verdana"/>
          <w:sz w:val="20"/>
        </w:rPr>
      </w:pPr>
    </w:p>
    <w:p w14:paraId="4AFE5183" w14:textId="77777777" w:rsidR="00214C83" w:rsidRPr="009E1210" w:rsidRDefault="00214C83" w:rsidP="00214C83">
      <w:pPr>
        <w:jc w:val="both"/>
        <w:outlineLvl w:val="0"/>
        <w:rPr>
          <w:rFonts w:ascii="Verdana" w:hAnsi="Verdana"/>
          <w:sz w:val="20"/>
          <w:lang w:val="nl-BE"/>
        </w:rPr>
      </w:pPr>
      <w:r>
        <w:rPr>
          <w:rFonts w:ascii="Verdana" w:hAnsi="Verdana"/>
          <w:b/>
          <w:smallCaps/>
          <w:sz w:val="20"/>
          <w:lang w:val="nl-BE"/>
        </w:rPr>
        <w:t>antwoord</w:t>
      </w:r>
    </w:p>
    <w:p w14:paraId="1989F9D1" w14:textId="77777777" w:rsidR="00214C83" w:rsidRPr="009E1210" w:rsidRDefault="00214C83" w:rsidP="00214C83">
      <w:pPr>
        <w:jc w:val="both"/>
        <w:outlineLvl w:val="0"/>
        <w:rPr>
          <w:rFonts w:ascii="Verdana" w:hAnsi="Verdana"/>
          <w:sz w:val="20"/>
        </w:rPr>
      </w:pPr>
      <w:r w:rsidRPr="009E1210">
        <w:rPr>
          <w:rFonts w:ascii="Verdana" w:hAnsi="Verdana"/>
          <w:sz w:val="20"/>
        </w:rPr>
        <w:t xml:space="preserve">op vraag nr. </w:t>
      </w:r>
      <w:r>
        <w:rPr>
          <w:rFonts w:ascii="Verdana" w:hAnsi="Verdana"/>
          <w:sz w:val="20"/>
        </w:rPr>
        <w:t>255</w:t>
      </w:r>
      <w:r w:rsidRPr="009E1210">
        <w:rPr>
          <w:rFonts w:ascii="Verdana" w:hAnsi="Verdana"/>
          <w:sz w:val="20"/>
        </w:rPr>
        <w:t xml:space="preserve"> van </w:t>
      </w:r>
      <w:r>
        <w:rPr>
          <w:rFonts w:ascii="Verdana" w:hAnsi="Verdana"/>
          <w:sz w:val="20"/>
        </w:rPr>
        <w:t>28 april 2023</w:t>
      </w:r>
    </w:p>
    <w:p w14:paraId="5D4177A1" w14:textId="77777777" w:rsidR="00214C83" w:rsidRPr="00CC7F21" w:rsidRDefault="00214C83" w:rsidP="00214C83">
      <w:pPr>
        <w:jc w:val="both"/>
        <w:rPr>
          <w:rFonts w:ascii="Verdana" w:hAnsi="Verdana"/>
          <w:b/>
          <w:sz w:val="20"/>
        </w:rPr>
      </w:pPr>
      <w:r w:rsidRPr="009E1210">
        <w:rPr>
          <w:rFonts w:ascii="Verdana" w:hAnsi="Verdana"/>
          <w:sz w:val="20"/>
        </w:rPr>
        <w:t xml:space="preserve">van </w:t>
      </w:r>
      <w:r>
        <w:rPr>
          <w:rFonts w:ascii="Verdana" w:hAnsi="Verdana"/>
          <w:b/>
          <w:smallCaps/>
          <w:sz w:val="20"/>
        </w:rPr>
        <w:t>sam van rooy</w:t>
      </w:r>
    </w:p>
    <w:p w14:paraId="339737E0" w14:textId="77777777" w:rsidR="00214C83" w:rsidRPr="00CC7F21" w:rsidRDefault="00214C83" w:rsidP="00214C83">
      <w:pPr>
        <w:pBdr>
          <w:bottom w:val="single" w:sz="4" w:space="1" w:color="auto"/>
        </w:pBdr>
        <w:jc w:val="both"/>
        <w:rPr>
          <w:rFonts w:ascii="Verdana" w:hAnsi="Verdana"/>
          <w:sz w:val="20"/>
        </w:rPr>
      </w:pPr>
    </w:p>
    <w:p w14:paraId="4B4764CA" w14:textId="77777777" w:rsidR="00214C83" w:rsidRPr="00CC7F21" w:rsidRDefault="00214C83" w:rsidP="00214C83">
      <w:pPr>
        <w:pStyle w:val="StandaardSV"/>
        <w:rPr>
          <w:rFonts w:ascii="Verdana" w:hAnsi="Verdana"/>
          <w:sz w:val="20"/>
        </w:rPr>
      </w:pPr>
    </w:p>
    <w:p w14:paraId="0CF2801D" w14:textId="77777777" w:rsidR="00214C83" w:rsidRPr="00CC7F21" w:rsidRDefault="00214C83" w:rsidP="00214C83">
      <w:pPr>
        <w:pStyle w:val="StandaardSV"/>
        <w:rPr>
          <w:rFonts w:ascii="Verdana" w:hAnsi="Verdana"/>
          <w:sz w:val="20"/>
        </w:rPr>
      </w:pPr>
    </w:p>
    <w:p w14:paraId="6BC3959E" w14:textId="77777777" w:rsidR="000B07E2" w:rsidRPr="000B07E2" w:rsidRDefault="000B07E2" w:rsidP="000B07E2">
      <w:pPr>
        <w:numPr>
          <w:ilvl w:val="0"/>
          <w:numId w:val="46"/>
        </w:numPr>
        <w:ind w:left="426" w:hanging="426"/>
        <w:contextualSpacing/>
        <w:jc w:val="both"/>
        <w:rPr>
          <w:rFonts w:ascii="Verdana" w:hAnsi="Verdana"/>
          <w:sz w:val="20"/>
        </w:rPr>
      </w:pPr>
      <w:r w:rsidRPr="000B07E2">
        <w:rPr>
          <w:rFonts w:ascii="Verdana" w:hAnsi="Verdana"/>
          <w:sz w:val="20"/>
        </w:rPr>
        <w:t xml:space="preserve">Bijgevoegd vindt u de juridisch bindende overeenkomst tussen de Vlaamse overheid en het World </w:t>
      </w:r>
      <w:proofErr w:type="spellStart"/>
      <w:r w:rsidRPr="000B07E2">
        <w:rPr>
          <w:rFonts w:ascii="Verdana" w:hAnsi="Verdana"/>
          <w:sz w:val="20"/>
        </w:rPr>
        <w:t>Economic</w:t>
      </w:r>
      <w:proofErr w:type="spellEnd"/>
      <w:r w:rsidRPr="000B07E2">
        <w:rPr>
          <w:rFonts w:ascii="Verdana" w:hAnsi="Verdana"/>
          <w:sz w:val="20"/>
        </w:rPr>
        <w:t xml:space="preserve"> Forum (WEF).</w:t>
      </w:r>
    </w:p>
    <w:p w14:paraId="494FCE87" w14:textId="77777777" w:rsidR="000B07E2" w:rsidRPr="000B07E2" w:rsidRDefault="000B07E2" w:rsidP="000B07E2">
      <w:pPr>
        <w:ind w:left="426"/>
        <w:contextualSpacing/>
        <w:jc w:val="both"/>
        <w:rPr>
          <w:rFonts w:ascii="Verdana" w:hAnsi="Verdana"/>
          <w:sz w:val="20"/>
        </w:rPr>
      </w:pPr>
    </w:p>
    <w:p w14:paraId="15B2DBE6" w14:textId="77777777" w:rsidR="000B07E2" w:rsidRPr="000B07E2" w:rsidRDefault="000B07E2" w:rsidP="000B07E2">
      <w:pPr>
        <w:numPr>
          <w:ilvl w:val="0"/>
          <w:numId w:val="46"/>
        </w:numPr>
        <w:ind w:left="426" w:hanging="426"/>
        <w:contextualSpacing/>
        <w:jc w:val="both"/>
        <w:rPr>
          <w:rFonts w:ascii="Verdana" w:hAnsi="Verdana"/>
          <w:sz w:val="20"/>
        </w:rPr>
      </w:pPr>
      <w:r w:rsidRPr="000B07E2">
        <w:rPr>
          <w:rFonts w:ascii="Verdana" w:hAnsi="Verdana"/>
          <w:sz w:val="20"/>
        </w:rPr>
        <w:t xml:space="preserve">Vlaanderen is ook in 2023 </w:t>
      </w:r>
      <w:proofErr w:type="spellStart"/>
      <w:r w:rsidRPr="000B07E2">
        <w:rPr>
          <w:rFonts w:ascii="Verdana" w:hAnsi="Verdana"/>
          <w:sz w:val="20"/>
        </w:rPr>
        <w:t>Associate</w:t>
      </w:r>
      <w:proofErr w:type="spellEnd"/>
      <w:r w:rsidRPr="000B07E2">
        <w:rPr>
          <w:rFonts w:ascii="Verdana" w:hAnsi="Verdana"/>
          <w:sz w:val="20"/>
        </w:rPr>
        <w:t xml:space="preserve"> Partner van het WEF. De Vlaamse overheid zal dit jaar nog de jaarlijkse lidmaatschapsbijdrage van 180.000 CHF betalen. </w:t>
      </w:r>
    </w:p>
    <w:p w14:paraId="09AACBA4" w14:textId="77777777" w:rsidR="000B07E2" w:rsidRPr="000B07E2" w:rsidRDefault="000B07E2" w:rsidP="000B07E2">
      <w:pPr>
        <w:tabs>
          <w:tab w:val="left" w:pos="426"/>
        </w:tabs>
        <w:ind w:left="426"/>
        <w:contextualSpacing/>
        <w:jc w:val="both"/>
        <w:rPr>
          <w:rFonts w:ascii="Verdana" w:hAnsi="Verdana"/>
          <w:sz w:val="20"/>
        </w:rPr>
      </w:pPr>
    </w:p>
    <w:p w14:paraId="7853182F"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 xml:space="preserve">Oorspronkelijk was Vlaanderen een institutioneel lid van het WEF. Dit lidmaatschap liet ons toe om aanwezig te zijn op de jaarlijkse bijeenkomst in </w:t>
      </w:r>
      <w:proofErr w:type="spellStart"/>
      <w:r w:rsidRPr="000B07E2">
        <w:rPr>
          <w:rFonts w:ascii="Verdana" w:hAnsi="Verdana"/>
          <w:sz w:val="20"/>
        </w:rPr>
        <w:t>Davos</w:t>
      </w:r>
      <w:proofErr w:type="spellEnd"/>
      <w:r w:rsidRPr="000B07E2">
        <w:rPr>
          <w:rFonts w:ascii="Verdana" w:hAnsi="Verdana"/>
          <w:sz w:val="20"/>
        </w:rPr>
        <w:t xml:space="preserve">. In 2020-2021 heeft het WEF echter de </w:t>
      </w:r>
      <w:proofErr w:type="spellStart"/>
      <w:r w:rsidRPr="000B07E2">
        <w:rPr>
          <w:rFonts w:ascii="Verdana" w:hAnsi="Verdana"/>
          <w:sz w:val="20"/>
        </w:rPr>
        <w:t>lidmaatschapstructuren</w:t>
      </w:r>
      <w:proofErr w:type="spellEnd"/>
      <w:r w:rsidRPr="000B07E2">
        <w:rPr>
          <w:rFonts w:ascii="Verdana" w:hAnsi="Verdana"/>
          <w:sz w:val="20"/>
        </w:rPr>
        <w:t xml:space="preserve"> herzien. Er werd Vlaanderen de optie geboden om, enerzijds, institutioneel lid te blijven zonder aanwezigheid in </w:t>
      </w:r>
      <w:proofErr w:type="spellStart"/>
      <w:r w:rsidRPr="000B07E2">
        <w:rPr>
          <w:rFonts w:ascii="Verdana" w:hAnsi="Verdana"/>
          <w:sz w:val="20"/>
        </w:rPr>
        <w:t>Davos</w:t>
      </w:r>
      <w:proofErr w:type="spellEnd"/>
      <w:r w:rsidRPr="000B07E2">
        <w:rPr>
          <w:rFonts w:ascii="Verdana" w:hAnsi="Verdana"/>
          <w:sz w:val="20"/>
        </w:rPr>
        <w:t xml:space="preserve"> of, anderzijds, </w:t>
      </w:r>
      <w:proofErr w:type="spellStart"/>
      <w:r w:rsidRPr="000B07E2">
        <w:rPr>
          <w:rFonts w:ascii="Verdana" w:hAnsi="Verdana"/>
          <w:sz w:val="20"/>
        </w:rPr>
        <w:t>Associate</w:t>
      </w:r>
      <w:proofErr w:type="spellEnd"/>
      <w:r w:rsidRPr="000B07E2">
        <w:rPr>
          <w:rFonts w:ascii="Verdana" w:hAnsi="Verdana"/>
          <w:sz w:val="20"/>
        </w:rPr>
        <w:t xml:space="preserve"> Partner te worden met gegarandeerde aanwezigheid in </w:t>
      </w:r>
      <w:proofErr w:type="spellStart"/>
      <w:r w:rsidRPr="000B07E2">
        <w:rPr>
          <w:rFonts w:ascii="Verdana" w:hAnsi="Verdana"/>
          <w:sz w:val="20"/>
        </w:rPr>
        <w:t>Davos</w:t>
      </w:r>
      <w:proofErr w:type="spellEnd"/>
      <w:r w:rsidRPr="000B07E2">
        <w:rPr>
          <w:rFonts w:ascii="Verdana" w:hAnsi="Verdana"/>
          <w:sz w:val="20"/>
        </w:rPr>
        <w:t>. Door daarnaast toe te treden tot thematische platformen of ‘</w:t>
      </w:r>
      <w:proofErr w:type="spellStart"/>
      <w:r w:rsidRPr="000B07E2">
        <w:rPr>
          <w:rFonts w:ascii="Verdana" w:hAnsi="Verdana"/>
          <w:sz w:val="20"/>
        </w:rPr>
        <w:t>centres</w:t>
      </w:r>
      <w:proofErr w:type="spellEnd"/>
      <w:r w:rsidRPr="000B07E2">
        <w:rPr>
          <w:rFonts w:ascii="Verdana" w:hAnsi="Verdana"/>
          <w:sz w:val="20"/>
        </w:rPr>
        <w:t>’ (zie verder) is er een bijkomende, niet te onderschatten zichtbaarheid en netwerkingscapaciteit verbonden aan het lidmaatschap. Gegeven het belang van onze aanwezigheid op de jaarlijkse bijeenkomst, alsook de mogelijkheid om doorheen het jaar meer zichtbaarheid te creëren en aan kennisopbouw te doen, werd voor de optie van ‘</w:t>
      </w:r>
      <w:proofErr w:type="spellStart"/>
      <w:r w:rsidRPr="000B07E2">
        <w:rPr>
          <w:rFonts w:ascii="Verdana" w:hAnsi="Verdana"/>
          <w:sz w:val="20"/>
        </w:rPr>
        <w:t>Associate</w:t>
      </w:r>
      <w:proofErr w:type="spellEnd"/>
      <w:r w:rsidRPr="000B07E2">
        <w:rPr>
          <w:rFonts w:ascii="Verdana" w:hAnsi="Verdana"/>
          <w:sz w:val="20"/>
        </w:rPr>
        <w:t xml:space="preserve"> Partner’ gekozen. De verbintenis die hiermee gepaard gaat is vastgelegd in bijgevoegd lidmaatschapscontract. </w:t>
      </w:r>
    </w:p>
    <w:p w14:paraId="26D3B976" w14:textId="77777777" w:rsidR="000B07E2" w:rsidRPr="000B07E2" w:rsidRDefault="000B07E2" w:rsidP="000B07E2">
      <w:pPr>
        <w:ind w:left="426"/>
        <w:contextualSpacing/>
        <w:jc w:val="both"/>
        <w:rPr>
          <w:rFonts w:ascii="Verdana" w:hAnsi="Verdana"/>
          <w:sz w:val="20"/>
        </w:rPr>
      </w:pPr>
    </w:p>
    <w:p w14:paraId="237EBD69"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 xml:space="preserve">Voormalig minister-president Luc Van den </w:t>
      </w:r>
      <w:proofErr w:type="spellStart"/>
      <w:r w:rsidRPr="000B07E2">
        <w:rPr>
          <w:rFonts w:ascii="Verdana" w:hAnsi="Verdana"/>
          <w:sz w:val="20"/>
        </w:rPr>
        <w:t>Brande</w:t>
      </w:r>
      <w:proofErr w:type="spellEnd"/>
      <w:r w:rsidRPr="000B07E2">
        <w:rPr>
          <w:rFonts w:ascii="Verdana" w:hAnsi="Verdana"/>
          <w:sz w:val="20"/>
        </w:rPr>
        <w:t xml:space="preserve"> maakt Vlaanderen in 1993 lid van het WEF en nam een eerste keer deel aan de jaarlijkse bijeenkomst in </w:t>
      </w:r>
      <w:proofErr w:type="spellStart"/>
      <w:r w:rsidRPr="000B07E2">
        <w:rPr>
          <w:rFonts w:ascii="Verdana" w:hAnsi="Verdana"/>
          <w:sz w:val="20"/>
        </w:rPr>
        <w:t>Davos</w:t>
      </w:r>
      <w:proofErr w:type="spellEnd"/>
      <w:r w:rsidRPr="000B07E2">
        <w:rPr>
          <w:rFonts w:ascii="Verdana" w:hAnsi="Verdana"/>
          <w:sz w:val="20"/>
        </w:rPr>
        <w:t xml:space="preserve"> in 1994. Dit werd beslist op ministerieel niveau aangezien het lidmaatschapsbedrag, dat via een subsidie wordt toegekend, inferieur is aan het bedrag dat op regeringsniveau beslist dient te worden.</w:t>
      </w:r>
    </w:p>
    <w:p w14:paraId="50351AF1" w14:textId="77777777" w:rsidR="000B07E2" w:rsidRPr="000B07E2" w:rsidRDefault="000B07E2" w:rsidP="000B07E2">
      <w:pPr>
        <w:ind w:left="720"/>
        <w:contextualSpacing/>
        <w:rPr>
          <w:rFonts w:ascii="Verdana" w:hAnsi="Verdana"/>
          <w:sz w:val="20"/>
        </w:rPr>
      </w:pPr>
    </w:p>
    <w:p w14:paraId="2057796D"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 xml:space="preserve">Behalve de lidmaatschapsbijdrage en de deelnameprijs voor de jaarlijkse bijeenkomst in </w:t>
      </w:r>
      <w:proofErr w:type="spellStart"/>
      <w:r w:rsidRPr="000B07E2">
        <w:rPr>
          <w:rFonts w:ascii="Verdana" w:hAnsi="Verdana"/>
          <w:sz w:val="20"/>
        </w:rPr>
        <w:t>Davos</w:t>
      </w:r>
      <w:proofErr w:type="spellEnd"/>
      <w:r w:rsidRPr="000B07E2">
        <w:rPr>
          <w:rFonts w:ascii="Verdana" w:hAnsi="Verdana"/>
          <w:sz w:val="20"/>
        </w:rPr>
        <w:t xml:space="preserve"> zijn er geen betalingen geweest, noch voorzien aan het WEF in 2022 en 2023.</w:t>
      </w:r>
    </w:p>
    <w:p w14:paraId="56DA1753" w14:textId="77777777" w:rsidR="000B07E2" w:rsidRPr="000B07E2" w:rsidRDefault="000B07E2" w:rsidP="000B07E2">
      <w:pPr>
        <w:ind w:left="720"/>
        <w:contextualSpacing/>
        <w:rPr>
          <w:rFonts w:ascii="Verdana" w:hAnsi="Verdana"/>
          <w:sz w:val="20"/>
        </w:rPr>
      </w:pPr>
    </w:p>
    <w:p w14:paraId="07BDA4FF"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 xml:space="preserve">De Vlaamse overheid kende geen subsidies toe aan bepaalde organisaties via het WEF. </w:t>
      </w:r>
    </w:p>
    <w:p w14:paraId="116F75F3" w14:textId="77777777" w:rsidR="000B07E2" w:rsidRPr="000B07E2" w:rsidRDefault="000B07E2" w:rsidP="000B07E2">
      <w:pPr>
        <w:ind w:left="720"/>
        <w:contextualSpacing/>
        <w:rPr>
          <w:rFonts w:ascii="Verdana" w:hAnsi="Verdana"/>
          <w:sz w:val="20"/>
        </w:rPr>
      </w:pPr>
    </w:p>
    <w:p w14:paraId="7C0C9E4D"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 xml:space="preserve">Het klopt dat Vlaanderen de enige deelstaat is die lid is van het WEF. De organisatie erkent dat dit een uitzonderlijke situatie is, maar beschouwt de band als zinvol aangezien Vlaanderen een belangrijke economische motor is in de wereld met een sterk industrieel weefsel. Vlaanderen mag bijgevolg trots zijn deze waardering te genieten en uitgenodigd te worden om deel te nemen aan de jaarlijkse bijeenkomst in </w:t>
      </w:r>
      <w:proofErr w:type="spellStart"/>
      <w:r w:rsidRPr="000B07E2">
        <w:rPr>
          <w:rFonts w:ascii="Verdana" w:hAnsi="Verdana"/>
          <w:sz w:val="20"/>
        </w:rPr>
        <w:t>Davos</w:t>
      </w:r>
      <w:proofErr w:type="spellEnd"/>
      <w:r w:rsidRPr="000B07E2">
        <w:rPr>
          <w:rFonts w:ascii="Verdana" w:hAnsi="Verdana"/>
          <w:sz w:val="20"/>
        </w:rPr>
        <w:t xml:space="preserve">. </w:t>
      </w:r>
    </w:p>
    <w:p w14:paraId="0B21E491" w14:textId="77777777" w:rsidR="000B07E2" w:rsidRPr="000B07E2" w:rsidRDefault="000B07E2" w:rsidP="000B07E2">
      <w:pPr>
        <w:ind w:left="720"/>
        <w:contextualSpacing/>
        <w:rPr>
          <w:rFonts w:ascii="Verdana" w:hAnsi="Verdana"/>
          <w:sz w:val="20"/>
        </w:rPr>
      </w:pPr>
    </w:p>
    <w:p w14:paraId="2E4A3411"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 xml:space="preserve">Het WEF-lidmaatschap is een voorwaarde om deel te kunnen nemen aan de jaarlijkse bijeenkomst in </w:t>
      </w:r>
      <w:proofErr w:type="spellStart"/>
      <w:r w:rsidRPr="000B07E2">
        <w:rPr>
          <w:rFonts w:ascii="Verdana" w:hAnsi="Verdana"/>
          <w:sz w:val="20"/>
        </w:rPr>
        <w:t>Davos</w:t>
      </w:r>
      <w:proofErr w:type="spellEnd"/>
      <w:r w:rsidRPr="000B07E2">
        <w:rPr>
          <w:rFonts w:ascii="Verdana" w:hAnsi="Verdana"/>
          <w:sz w:val="20"/>
        </w:rPr>
        <w:t xml:space="preserve">. </w:t>
      </w:r>
    </w:p>
    <w:p w14:paraId="6FBC3C27" w14:textId="77777777" w:rsidR="000B07E2" w:rsidRPr="000B07E2" w:rsidRDefault="000B07E2" w:rsidP="000B07E2">
      <w:pPr>
        <w:ind w:left="720"/>
        <w:contextualSpacing/>
        <w:rPr>
          <w:rFonts w:ascii="Verdana" w:hAnsi="Verdana"/>
          <w:sz w:val="20"/>
        </w:rPr>
      </w:pPr>
    </w:p>
    <w:p w14:paraId="235C850D"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 xml:space="preserve">Zoals aangegeven in mijn antwoord op uw vorige schriftelijke vraag omtrent deze thematiek, vraagt het WEF ons niet om een specifieke agenda na te streven. De WEF-missie kan u raadplegen in artikel 3 hun Foundation </w:t>
      </w:r>
      <w:proofErr w:type="spellStart"/>
      <w:r w:rsidRPr="000B07E2">
        <w:rPr>
          <w:rFonts w:ascii="Verdana" w:hAnsi="Verdana"/>
          <w:sz w:val="20"/>
        </w:rPr>
        <w:t>Statutes</w:t>
      </w:r>
      <w:proofErr w:type="spellEnd"/>
      <w:r w:rsidRPr="000B07E2">
        <w:rPr>
          <w:rFonts w:ascii="Verdana" w:hAnsi="Verdana"/>
          <w:sz w:val="20"/>
        </w:rPr>
        <w:t xml:space="preserve">. </w:t>
      </w:r>
    </w:p>
    <w:p w14:paraId="2F691851" w14:textId="77777777" w:rsidR="000B07E2" w:rsidRPr="000B07E2" w:rsidRDefault="000B07E2" w:rsidP="000B07E2">
      <w:pPr>
        <w:ind w:left="720"/>
        <w:contextualSpacing/>
        <w:rPr>
          <w:rFonts w:ascii="Verdana" w:hAnsi="Verdana"/>
          <w:sz w:val="20"/>
        </w:rPr>
      </w:pPr>
    </w:p>
    <w:p w14:paraId="6DD6B809" w14:textId="77777777" w:rsidR="000B07E2" w:rsidRPr="000B07E2" w:rsidRDefault="000B07E2" w:rsidP="000B07E2">
      <w:pPr>
        <w:ind w:left="426"/>
        <w:contextualSpacing/>
        <w:jc w:val="both"/>
        <w:rPr>
          <w:rFonts w:ascii="Verdana" w:hAnsi="Verdana"/>
          <w:sz w:val="20"/>
        </w:rPr>
      </w:pPr>
      <w:r w:rsidRPr="000B07E2">
        <w:rPr>
          <w:rFonts w:ascii="Verdana" w:hAnsi="Verdana"/>
          <w:sz w:val="20"/>
        </w:rPr>
        <w:lastRenderedPageBreak/>
        <w:t xml:space="preserve">De missie van het WEF om de staat van de wereld te verbeteren en daarbij interdisciplinaire samenwerking te faciliteren tussen alle stakeholders is iets waarin de Vlaamse overheid een rol kan spelen. Het spreekt voor zich dat de Vlaamse Regering haar eigen beleid bepaalt. Het WEF geeft hieromtrent aan dat het de essentiële rol van overheden ten volle respecteert.  </w:t>
      </w:r>
    </w:p>
    <w:p w14:paraId="615F1E97" w14:textId="77777777" w:rsidR="000B07E2" w:rsidRPr="000B07E2" w:rsidRDefault="000B07E2" w:rsidP="000B07E2">
      <w:pPr>
        <w:ind w:left="426"/>
        <w:contextualSpacing/>
        <w:jc w:val="both"/>
        <w:rPr>
          <w:rFonts w:ascii="Verdana" w:hAnsi="Verdana"/>
          <w:sz w:val="20"/>
        </w:rPr>
      </w:pPr>
    </w:p>
    <w:p w14:paraId="1925614C"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 xml:space="preserve">Binnen de Vlaamse overheid hadden voornamelijk het Departement Kanselarij en Buitenlandse Zaken en, in minder mate, het Vlaams Agentschap voor Internationaal Ondernemen, contacten met het WEF in 2022 en 2023. </w:t>
      </w:r>
    </w:p>
    <w:p w14:paraId="4A125D4D" w14:textId="77777777" w:rsidR="000B07E2" w:rsidRPr="000B07E2" w:rsidRDefault="000B07E2" w:rsidP="000B07E2">
      <w:pPr>
        <w:ind w:left="426"/>
        <w:contextualSpacing/>
        <w:jc w:val="both"/>
        <w:rPr>
          <w:rFonts w:ascii="Verdana" w:hAnsi="Verdana"/>
          <w:sz w:val="20"/>
        </w:rPr>
      </w:pPr>
    </w:p>
    <w:p w14:paraId="3D9231C2" w14:textId="77777777" w:rsidR="000B07E2" w:rsidRPr="000B07E2" w:rsidRDefault="000B07E2" w:rsidP="000B07E2">
      <w:pPr>
        <w:ind w:left="426"/>
        <w:contextualSpacing/>
        <w:jc w:val="both"/>
        <w:rPr>
          <w:rFonts w:ascii="Verdana" w:hAnsi="Verdana"/>
          <w:sz w:val="20"/>
        </w:rPr>
      </w:pPr>
      <w:r w:rsidRPr="000B07E2">
        <w:rPr>
          <w:rFonts w:ascii="Verdana" w:hAnsi="Verdana"/>
          <w:sz w:val="20"/>
        </w:rPr>
        <w:t xml:space="preserve">Samengevat gaan de contacten voornamelijk over mijn deelname aan de jaarlijkse bijeenkomst in </w:t>
      </w:r>
      <w:proofErr w:type="spellStart"/>
      <w:r w:rsidRPr="000B07E2">
        <w:rPr>
          <w:rFonts w:ascii="Verdana" w:hAnsi="Verdana"/>
          <w:sz w:val="20"/>
        </w:rPr>
        <w:t>Davos</w:t>
      </w:r>
      <w:proofErr w:type="spellEnd"/>
      <w:r w:rsidRPr="000B07E2">
        <w:rPr>
          <w:rFonts w:ascii="Verdana" w:hAnsi="Verdana"/>
          <w:sz w:val="20"/>
        </w:rPr>
        <w:t xml:space="preserve"> en de praktische organisatie hiervan. Dergelijke contacten begonnen eind maart 2022 en intensifieerden naar mate de jaarlijkse bijeenkomst in mei dichterbij kwam. Voor 2023 begonnen de contacten rond eind oktober 2022 om te intensifiëren vanaf december in aanloop naar de jaarlijkse bijeenkomst van januari 2023. Eind februari 2023 vond een opvolggesprek plaats om de aanwezigheid van Vlaanderen in </w:t>
      </w:r>
      <w:proofErr w:type="spellStart"/>
      <w:r w:rsidRPr="000B07E2">
        <w:rPr>
          <w:rFonts w:ascii="Verdana" w:hAnsi="Verdana"/>
          <w:sz w:val="20"/>
        </w:rPr>
        <w:t>Davos</w:t>
      </w:r>
      <w:proofErr w:type="spellEnd"/>
      <w:r w:rsidRPr="000B07E2">
        <w:rPr>
          <w:rFonts w:ascii="Verdana" w:hAnsi="Verdana"/>
          <w:sz w:val="20"/>
        </w:rPr>
        <w:t xml:space="preserve"> te evalueren. </w:t>
      </w:r>
    </w:p>
    <w:p w14:paraId="2C8BB0B3" w14:textId="77777777" w:rsidR="000B07E2" w:rsidRPr="000B07E2" w:rsidRDefault="000B07E2" w:rsidP="000B07E2">
      <w:pPr>
        <w:ind w:left="426"/>
        <w:contextualSpacing/>
        <w:jc w:val="both"/>
        <w:rPr>
          <w:rFonts w:ascii="Verdana" w:hAnsi="Verdana"/>
          <w:sz w:val="20"/>
        </w:rPr>
      </w:pPr>
    </w:p>
    <w:p w14:paraId="060698F9" w14:textId="77777777" w:rsidR="000B07E2" w:rsidRPr="000B07E2" w:rsidRDefault="000B07E2" w:rsidP="000B07E2">
      <w:pPr>
        <w:ind w:left="426"/>
        <w:contextualSpacing/>
        <w:jc w:val="both"/>
        <w:rPr>
          <w:rFonts w:ascii="Verdana" w:hAnsi="Verdana"/>
          <w:sz w:val="20"/>
        </w:rPr>
      </w:pPr>
      <w:r w:rsidRPr="000B07E2">
        <w:rPr>
          <w:rFonts w:ascii="Verdana" w:hAnsi="Verdana"/>
          <w:sz w:val="20"/>
        </w:rPr>
        <w:t xml:space="preserve">Daarnaast zijn er contacten over praktische zaken die gelinkt zijn aan het lidmaatschap, gaande van voorstellingen van de activiteiten van het WEF in de platformen tot uitsturen en opvolgen van facturatie. Deze contacten zijn eerder beperkt en lopen doorheen het jaar. </w:t>
      </w:r>
    </w:p>
    <w:p w14:paraId="4627490C" w14:textId="77777777" w:rsidR="000B07E2" w:rsidRPr="000B07E2" w:rsidRDefault="000B07E2" w:rsidP="000B07E2">
      <w:pPr>
        <w:ind w:left="426"/>
        <w:contextualSpacing/>
        <w:jc w:val="both"/>
        <w:rPr>
          <w:rFonts w:ascii="Verdana" w:hAnsi="Verdana"/>
          <w:sz w:val="20"/>
        </w:rPr>
      </w:pPr>
    </w:p>
    <w:p w14:paraId="6C2A1ADD" w14:textId="77777777" w:rsidR="000B07E2" w:rsidRPr="000B07E2" w:rsidRDefault="000B07E2" w:rsidP="000B07E2">
      <w:pPr>
        <w:ind w:left="426"/>
        <w:contextualSpacing/>
        <w:jc w:val="both"/>
        <w:rPr>
          <w:rFonts w:ascii="Verdana" w:hAnsi="Verdana"/>
          <w:sz w:val="20"/>
        </w:rPr>
      </w:pPr>
      <w:r w:rsidRPr="000B07E2">
        <w:rPr>
          <w:rFonts w:ascii="Verdana" w:hAnsi="Verdana"/>
          <w:sz w:val="20"/>
        </w:rPr>
        <w:t>Ten slotte presenteerde het WEF eind oktober 2022 hun Strategic Intelligence Tool aan beleidsmedewerkers van de Vlaamse overheid. Het doel was om te tonen hoe het WEF dit middel kan gebruiken als bijkomende bron van informatie voor de Vlaamse overheid.</w:t>
      </w:r>
    </w:p>
    <w:p w14:paraId="26557165" w14:textId="77777777" w:rsidR="000B07E2" w:rsidRPr="000B07E2" w:rsidRDefault="000B07E2" w:rsidP="000B07E2">
      <w:pPr>
        <w:ind w:left="426"/>
        <w:contextualSpacing/>
        <w:jc w:val="both"/>
        <w:rPr>
          <w:rFonts w:ascii="Verdana" w:hAnsi="Verdana"/>
          <w:sz w:val="20"/>
        </w:rPr>
      </w:pPr>
    </w:p>
    <w:p w14:paraId="36EBF2C1"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De Vlaamse overheid nam deel aan partnerbriefings van het WEF. Hierin lichtte het WEF toe welke projecten en thema’s de organisatie behandelt, alsook deelde de organisatie (praktische) informatie om de aanwezigheid op de jaarlijkse bijeenkomst goed voor te bereiden. Daarnaast nam de Vlaamse overheid deel aan een rondetafelgesprek met andere Trade Promotion Offices</w:t>
      </w:r>
    </w:p>
    <w:p w14:paraId="14CC9F65" w14:textId="77777777" w:rsidR="000B07E2" w:rsidRPr="000B07E2" w:rsidRDefault="000B07E2" w:rsidP="000B07E2">
      <w:pPr>
        <w:ind w:left="426"/>
        <w:contextualSpacing/>
        <w:jc w:val="both"/>
        <w:rPr>
          <w:rFonts w:ascii="Verdana" w:hAnsi="Verdana"/>
          <w:sz w:val="20"/>
        </w:rPr>
      </w:pPr>
      <w:r w:rsidRPr="000B07E2">
        <w:rPr>
          <w:rFonts w:ascii="Verdana" w:hAnsi="Verdana"/>
          <w:sz w:val="20"/>
        </w:rPr>
        <w:t xml:space="preserve"> </w:t>
      </w:r>
    </w:p>
    <w:p w14:paraId="090BB1E6" w14:textId="77777777" w:rsidR="000B07E2" w:rsidRPr="000B07E2" w:rsidRDefault="000B07E2" w:rsidP="000B07E2">
      <w:pPr>
        <w:ind w:left="426"/>
        <w:contextualSpacing/>
        <w:jc w:val="both"/>
        <w:rPr>
          <w:rFonts w:ascii="Verdana" w:hAnsi="Verdana"/>
          <w:sz w:val="20"/>
        </w:rPr>
      </w:pPr>
      <w:r w:rsidRPr="000B07E2">
        <w:rPr>
          <w:rFonts w:ascii="Verdana" w:hAnsi="Verdana"/>
          <w:sz w:val="20"/>
        </w:rPr>
        <w:t xml:space="preserve">Er dient nog uitgeklaard te worden aan welke WEF-activiteiten de Vlaamse overheid zal deelnemen in 2023. </w:t>
      </w:r>
    </w:p>
    <w:p w14:paraId="20B46D9E" w14:textId="77777777" w:rsidR="000B07E2" w:rsidRPr="000B07E2" w:rsidRDefault="000B07E2" w:rsidP="000B07E2">
      <w:pPr>
        <w:ind w:left="426"/>
        <w:contextualSpacing/>
        <w:jc w:val="both"/>
        <w:rPr>
          <w:rFonts w:ascii="Verdana" w:hAnsi="Verdana"/>
          <w:sz w:val="20"/>
        </w:rPr>
      </w:pPr>
    </w:p>
    <w:p w14:paraId="44DE0E8E"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 xml:space="preserve">De Vlaamse overheid werkte tot op heden niet mee aan een specifiek project. Er dient nog uitgeklaard te worden aan welke projecten zou kunnen meegewerkt worden in de toekomst en hoe dit zou kunnen verlopen. </w:t>
      </w:r>
    </w:p>
    <w:p w14:paraId="15E1345B" w14:textId="77777777" w:rsidR="000B07E2" w:rsidRPr="000B07E2" w:rsidRDefault="000B07E2" w:rsidP="000B07E2">
      <w:pPr>
        <w:ind w:left="426"/>
        <w:contextualSpacing/>
        <w:jc w:val="both"/>
        <w:rPr>
          <w:rFonts w:ascii="Verdana" w:hAnsi="Verdana"/>
          <w:sz w:val="20"/>
        </w:rPr>
      </w:pPr>
    </w:p>
    <w:p w14:paraId="7BA24792"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De thematische platformen werden intussen omgevormd tot ‘</w:t>
      </w:r>
      <w:proofErr w:type="spellStart"/>
      <w:r w:rsidRPr="000B07E2">
        <w:rPr>
          <w:rFonts w:ascii="Verdana" w:hAnsi="Verdana"/>
          <w:sz w:val="20"/>
        </w:rPr>
        <w:t>Centres</w:t>
      </w:r>
      <w:proofErr w:type="spellEnd"/>
      <w:r w:rsidRPr="000B07E2">
        <w:rPr>
          <w:rFonts w:ascii="Verdana" w:hAnsi="Verdana"/>
          <w:sz w:val="20"/>
        </w:rPr>
        <w:t xml:space="preserve">’. Vlaanderen maakt bijgevolg deel uit van het ‘Centre </w:t>
      </w:r>
      <w:proofErr w:type="spellStart"/>
      <w:r w:rsidRPr="000B07E2">
        <w:rPr>
          <w:rFonts w:ascii="Verdana" w:hAnsi="Verdana"/>
          <w:sz w:val="20"/>
        </w:rPr>
        <w:t>for</w:t>
      </w:r>
      <w:proofErr w:type="spellEnd"/>
      <w:r w:rsidRPr="000B07E2">
        <w:rPr>
          <w:rFonts w:ascii="Verdana" w:hAnsi="Verdana"/>
          <w:sz w:val="20"/>
        </w:rPr>
        <w:t xml:space="preserve"> </w:t>
      </w:r>
      <w:proofErr w:type="spellStart"/>
      <w:r w:rsidRPr="000B07E2">
        <w:rPr>
          <w:rFonts w:ascii="Verdana" w:hAnsi="Verdana"/>
          <w:sz w:val="20"/>
        </w:rPr>
        <w:t>Regions</w:t>
      </w:r>
      <w:proofErr w:type="spellEnd"/>
      <w:r w:rsidRPr="000B07E2">
        <w:rPr>
          <w:rFonts w:ascii="Verdana" w:hAnsi="Verdana"/>
          <w:sz w:val="20"/>
        </w:rPr>
        <w:t xml:space="preserve">, Trade </w:t>
      </w:r>
      <w:proofErr w:type="spellStart"/>
      <w:r w:rsidRPr="000B07E2">
        <w:rPr>
          <w:rFonts w:ascii="Verdana" w:hAnsi="Verdana"/>
          <w:sz w:val="20"/>
        </w:rPr>
        <w:t>and</w:t>
      </w:r>
      <w:proofErr w:type="spellEnd"/>
      <w:r w:rsidRPr="000B07E2">
        <w:rPr>
          <w:rFonts w:ascii="Verdana" w:hAnsi="Verdana"/>
          <w:sz w:val="20"/>
        </w:rPr>
        <w:t xml:space="preserve"> </w:t>
      </w:r>
      <w:proofErr w:type="spellStart"/>
      <w:r w:rsidRPr="000B07E2">
        <w:rPr>
          <w:rFonts w:ascii="Verdana" w:hAnsi="Verdana"/>
          <w:sz w:val="20"/>
        </w:rPr>
        <w:t>Geopolitics</w:t>
      </w:r>
      <w:proofErr w:type="spellEnd"/>
      <w:r w:rsidRPr="000B07E2">
        <w:rPr>
          <w:rFonts w:ascii="Verdana" w:hAnsi="Verdana"/>
          <w:sz w:val="20"/>
        </w:rPr>
        <w:t xml:space="preserve">’. De missie hiervan vindt u terug via deze </w:t>
      </w:r>
      <w:hyperlink r:id="rId5" w:history="1">
        <w:r w:rsidRPr="000B07E2">
          <w:rPr>
            <w:rFonts w:ascii="Verdana" w:hAnsi="Verdana"/>
            <w:color w:val="0563C1"/>
            <w:sz w:val="20"/>
            <w:u w:val="single"/>
          </w:rPr>
          <w:t>webstek</w:t>
        </w:r>
      </w:hyperlink>
      <w:r w:rsidRPr="000B07E2">
        <w:rPr>
          <w:rFonts w:ascii="Verdana" w:hAnsi="Verdana"/>
          <w:sz w:val="20"/>
        </w:rPr>
        <w:t xml:space="preserve">. </w:t>
      </w:r>
    </w:p>
    <w:p w14:paraId="1BA094F1" w14:textId="77777777" w:rsidR="000B07E2" w:rsidRPr="000B07E2" w:rsidRDefault="000B07E2" w:rsidP="000B07E2">
      <w:pPr>
        <w:ind w:left="720"/>
        <w:contextualSpacing/>
        <w:rPr>
          <w:rFonts w:ascii="Verdana" w:hAnsi="Verdana"/>
          <w:sz w:val="20"/>
        </w:rPr>
      </w:pPr>
    </w:p>
    <w:p w14:paraId="7A7EA06A" w14:textId="77777777" w:rsidR="000B07E2" w:rsidRPr="000B07E2" w:rsidRDefault="000B07E2" w:rsidP="000B07E2">
      <w:pPr>
        <w:ind w:left="426"/>
        <w:contextualSpacing/>
        <w:jc w:val="both"/>
        <w:rPr>
          <w:rFonts w:ascii="Verdana" w:hAnsi="Verdana"/>
          <w:sz w:val="20"/>
        </w:rPr>
      </w:pPr>
      <w:r w:rsidRPr="000B07E2">
        <w:rPr>
          <w:rFonts w:ascii="Verdana" w:hAnsi="Verdana"/>
          <w:sz w:val="20"/>
        </w:rPr>
        <w:t xml:space="preserve">Er dient nog uitgeklaard te worden aan welke projecten zou kunnen meegewerkt worden in de toekomst en hoe dit zou kunnen verlopen. </w:t>
      </w:r>
    </w:p>
    <w:p w14:paraId="66DCEB8E" w14:textId="77777777" w:rsidR="000B07E2" w:rsidRPr="000B07E2" w:rsidRDefault="000B07E2" w:rsidP="000B07E2">
      <w:pPr>
        <w:ind w:left="426"/>
        <w:contextualSpacing/>
        <w:jc w:val="both"/>
        <w:rPr>
          <w:rFonts w:ascii="Verdana" w:hAnsi="Verdana"/>
          <w:sz w:val="20"/>
        </w:rPr>
      </w:pPr>
    </w:p>
    <w:p w14:paraId="444599E7" w14:textId="77777777" w:rsidR="000B07E2" w:rsidRPr="000B07E2" w:rsidRDefault="000B07E2" w:rsidP="000B07E2">
      <w:pPr>
        <w:numPr>
          <w:ilvl w:val="0"/>
          <w:numId w:val="47"/>
        </w:numPr>
        <w:ind w:left="426" w:hanging="426"/>
        <w:contextualSpacing/>
        <w:jc w:val="both"/>
        <w:rPr>
          <w:rFonts w:ascii="Verdana" w:hAnsi="Verdana"/>
          <w:sz w:val="20"/>
        </w:rPr>
      </w:pPr>
      <w:r w:rsidRPr="000B07E2">
        <w:rPr>
          <w:rFonts w:ascii="Verdana" w:hAnsi="Verdana"/>
          <w:sz w:val="20"/>
        </w:rPr>
        <w:t xml:space="preserve">Een eerste doelstelling is om investeringen aan te trekken. Het regeerakkoord stelt dat export en het aantrekken van buitenlandse investeerders de levensader van onze Vlaamse economie vormen. Willen we onze welvaart vergroten, dan moeten we blijven inzetten op het aantrekken van buitenlandse investeerders en op het stimuleren van de export van onze goederen en diensten. Een doorgedreven internationalisering van de Vlaamse economie is dus een permanente opdracht. Zoals mijn beleidsnota aangeeft, is een betere positionering van Vlaanderen wereldwijd, als sterke en innovatieve economie, een bouwsteen in de realisatie hiervan. Dit kan onder meer door missies en wereldevenementen, aangezien deze </w:t>
      </w:r>
      <w:r w:rsidRPr="000B07E2">
        <w:rPr>
          <w:rFonts w:ascii="Verdana" w:hAnsi="Verdana"/>
          <w:sz w:val="20"/>
        </w:rPr>
        <w:lastRenderedPageBreak/>
        <w:t>extra aandacht en zichtbaarheid genereren. Wereldevenementen zoals het WEF zijn ideale momenten om contacten te organiseren met buitenlandse ondernemers en om de reputatie van Vlaanderen te versterken.</w:t>
      </w:r>
    </w:p>
    <w:p w14:paraId="3D2DFB4D" w14:textId="77777777" w:rsidR="000B07E2" w:rsidRPr="000B07E2" w:rsidRDefault="000B07E2" w:rsidP="000B07E2">
      <w:pPr>
        <w:ind w:left="426"/>
        <w:contextualSpacing/>
        <w:jc w:val="both"/>
        <w:rPr>
          <w:rFonts w:ascii="Verdana" w:hAnsi="Verdana"/>
          <w:sz w:val="20"/>
        </w:rPr>
      </w:pPr>
    </w:p>
    <w:p w14:paraId="280E7E48" w14:textId="77777777" w:rsidR="000B07E2" w:rsidRPr="000B07E2" w:rsidRDefault="000B07E2" w:rsidP="000B07E2">
      <w:pPr>
        <w:ind w:left="426"/>
        <w:contextualSpacing/>
        <w:jc w:val="both"/>
        <w:rPr>
          <w:rFonts w:ascii="Verdana" w:hAnsi="Verdana"/>
          <w:sz w:val="20"/>
        </w:rPr>
      </w:pPr>
      <w:r w:rsidRPr="000B07E2">
        <w:rPr>
          <w:rFonts w:ascii="Verdana" w:hAnsi="Verdana"/>
          <w:sz w:val="20"/>
        </w:rPr>
        <w:t>Een tweede doelstelling is een sterke en coherente profilering van Vlaanderen in het buitenland. Het regeerakkoord stelt dat om beter gehoor te krijgen binnen de Europese en internationale gemeenschap, er nood is aan een duidelijkere en sterkere profilering van Vlaanderen in het buitenland. Daarom stelde mijn regering dat we werken aan de zichtbaarheid en slagkracht van Vlaanderen internationaal.</w:t>
      </w:r>
      <w:r w:rsidRPr="000B07E2">
        <w:rPr>
          <w:sz w:val="22"/>
          <w:szCs w:val="24"/>
        </w:rPr>
        <w:t xml:space="preserve"> </w:t>
      </w:r>
      <w:r w:rsidRPr="000B07E2">
        <w:rPr>
          <w:rFonts w:ascii="Verdana" w:hAnsi="Verdana"/>
          <w:sz w:val="20"/>
        </w:rPr>
        <w:t xml:space="preserve">Het WEF heeft een zeer breed bereik en aanwezigheid in </w:t>
      </w:r>
      <w:proofErr w:type="spellStart"/>
      <w:r w:rsidRPr="000B07E2">
        <w:rPr>
          <w:rFonts w:ascii="Verdana" w:hAnsi="Verdana"/>
          <w:sz w:val="20"/>
        </w:rPr>
        <w:t>Davos</w:t>
      </w:r>
      <w:proofErr w:type="spellEnd"/>
      <w:r w:rsidRPr="000B07E2">
        <w:rPr>
          <w:rFonts w:ascii="Verdana" w:hAnsi="Verdana"/>
          <w:sz w:val="20"/>
        </w:rPr>
        <w:t xml:space="preserve"> of vermelding van troeven via hun communicatiekanalen en andere middelen is een kans om Vlaanderen en haar troeven zichtbaar te maken internationaal.</w:t>
      </w:r>
    </w:p>
    <w:p w14:paraId="4F0F6AAB" w14:textId="77777777" w:rsidR="000B07E2" w:rsidRPr="000B07E2" w:rsidRDefault="000B07E2" w:rsidP="000B07E2">
      <w:pPr>
        <w:ind w:left="426"/>
        <w:contextualSpacing/>
        <w:jc w:val="both"/>
        <w:rPr>
          <w:rFonts w:ascii="Verdana" w:hAnsi="Verdana"/>
          <w:sz w:val="20"/>
        </w:rPr>
      </w:pPr>
    </w:p>
    <w:p w14:paraId="1D7C0C26" w14:textId="77777777" w:rsidR="000B07E2" w:rsidRPr="000B07E2" w:rsidRDefault="000B07E2" w:rsidP="000B07E2">
      <w:pPr>
        <w:numPr>
          <w:ilvl w:val="0"/>
          <w:numId w:val="47"/>
        </w:numPr>
        <w:ind w:left="426" w:hanging="426"/>
        <w:contextualSpacing/>
        <w:jc w:val="both"/>
        <w:rPr>
          <w:rFonts w:ascii="Verdana" w:hAnsi="Verdana"/>
          <w:sz w:val="20"/>
          <w:lang w:val="nl-BE"/>
        </w:rPr>
      </w:pPr>
      <w:r w:rsidRPr="000B07E2">
        <w:rPr>
          <w:rFonts w:ascii="Verdana" w:hAnsi="Verdana"/>
          <w:sz w:val="20"/>
          <w:lang w:val="nl-BE"/>
        </w:rPr>
        <w:t xml:space="preserve">De jaarlijkse bijeenkomst van het WEF in </w:t>
      </w:r>
      <w:proofErr w:type="spellStart"/>
      <w:r w:rsidRPr="000B07E2">
        <w:rPr>
          <w:rFonts w:ascii="Verdana" w:hAnsi="Verdana"/>
          <w:sz w:val="20"/>
          <w:lang w:val="nl-BE"/>
        </w:rPr>
        <w:t>Davos</w:t>
      </w:r>
      <w:proofErr w:type="spellEnd"/>
      <w:r w:rsidRPr="000B07E2">
        <w:rPr>
          <w:rFonts w:ascii="Verdana" w:hAnsi="Verdana"/>
          <w:sz w:val="20"/>
          <w:lang w:val="nl-BE"/>
        </w:rPr>
        <w:t xml:space="preserve"> is een uitstekende gelegenheid om samen te zitten met buitenlandse investeerders, alsook om Vlaanderen zichtbaar te stellen bij een breed en belangrijk internationaal publiek. Mijn administratie analyseert hoe de overige projecten en middelen die het WEF aanbiedt via het ‘Centre/platform’ kunnen bijdragen aan de realisatie van beleidsdoelstellingen van de Vlaamse Regering.  </w:t>
      </w:r>
    </w:p>
    <w:p w14:paraId="3AEAC21B" w14:textId="77777777" w:rsidR="000B07E2" w:rsidRDefault="000B07E2" w:rsidP="000B07E2">
      <w:pPr>
        <w:ind w:left="567"/>
        <w:contextualSpacing/>
        <w:rPr>
          <w:rFonts w:ascii="Verdana" w:hAnsi="Verdana" w:cs="Verdana"/>
          <w:color w:val="000000"/>
          <w:sz w:val="20"/>
          <w:lang w:eastAsia="nl-BE"/>
        </w:rPr>
      </w:pPr>
    </w:p>
    <w:p w14:paraId="3C65D24B" w14:textId="77777777" w:rsidR="00471562" w:rsidRPr="000B07E2" w:rsidRDefault="00471562" w:rsidP="000B07E2">
      <w:pPr>
        <w:ind w:left="567"/>
        <w:contextualSpacing/>
        <w:rPr>
          <w:rFonts w:ascii="Verdana" w:hAnsi="Verdana" w:cs="Verdana"/>
          <w:color w:val="000000"/>
          <w:sz w:val="20"/>
          <w:lang w:eastAsia="nl-BE"/>
        </w:rPr>
      </w:pPr>
    </w:p>
    <w:p w14:paraId="5B255767" w14:textId="77777777" w:rsidR="000B07E2" w:rsidRPr="000B07E2" w:rsidRDefault="000B07E2" w:rsidP="000B07E2">
      <w:pPr>
        <w:jc w:val="both"/>
        <w:rPr>
          <w:rFonts w:ascii="Verdana" w:hAnsi="Verdana"/>
          <w:b/>
          <w:smallCaps/>
          <w:color w:val="FF0000"/>
          <w:sz w:val="20"/>
          <w:u w:val="single"/>
        </w:rPr>
      </w:pPr>
      <w:r w:rsidRPr="000B07E2">
        <w:rPr>
          <w:rFonts w:ascii="Verdana" w:hAnsi="Verdana"/>
          <w:b/>
          <w:smallCaps/>
          <w:color w:val="FF0000"/>
          <w:sz w:val="20"/>
          <w:u w:val="single"/>
        </w:rPr>
        <w:t>bijlage</w:t>
      </w:r>
    </w:p>
    <w:p w14:paraId="2F6097CA" w14:textId="77777777" w:rsidR="000B07E2" w:rsidRDefault="000B07E2" w:rsidP="000B07E2">
      <w:pPr>
        <w:rPr>
          <w:rFonts w:ascii="Verdana" w:hAnsi="Verdana"/>
          <w:sz w:val="20"/>
          <w:lang w:val="nl-BE"/>
        </w:rPr>
      </w:pPr>
    </w:p>
    <w:p w14:paraId="42970334" w14:textId="4278CD16" w:rsidR="000B07E2" w:rsidRPr="000B07E2" w:rsidRDefault="000B07E2" w:rsidP="000B07E2">
      <w:pPr>
        <w:rPr>
          <w:rFonts w:ascii="Verdana" w:hAnsi="Verdana"/>
          <w:sz w:val="20"/>
          <w:lang w:val="nl-BE"/>
        </w:rPr>
      </w:pPr>
      <w:proofErr w:type="spellStart"/>
      <w:r w:rsidRPr="000B07E2">
        <w:rPr>
          <w:rFonts w:ascii="Verdana" w:hAnsi="Verdana"/>
          <w:sz w:val="20"/>
          <w:lang w:val="nl-BE"/>
        </w:rPr>
        <w:t>Associate</w:t>
      </w:r>
      <w:proofErr w:type="spellEnd"/>
      <w:r w:rsidRPr="000B07E2">
        <w:rPr>
          <w:rFonts w:ascii="Verdana" w:hAnsi="Verdana"/>
          <w:sz w:val="20"/>
          <w:lang w:val="nl-BE"/>
        </w:rPr>
        <w:t xml:space="preserve"> Partnership Agreement tussen de Vlaamse overheid en het Wereld Economisch Forum</w:t>
      </w:r>
    </w:p>
    <w:p w14:paraId="3662B43D" w14:textId="77777777" w:rsidR="000B07E2" w:rsidRPr="000B07E2" w:rsidRDefault="000B07E2" w:rsidP="000B07E2">
      <w:pPr>
        <w:tabs>
          <w:tab w:val="left" w:pos="426"/>
        </w:tabs>
        <w:jc w:val="both"/>
        <w:rPr>
          <w:rFonts w:ascii="Verdana" w:hAnsi="Verdana"/>
          <w:sz w:val="20"/>
          <w:lang w:val="nl-BE"/>
        </w:rPr>
      </w:pPr>
    </w:p>
    <w:p w14:paraId="2B183ED3" w14:textId="77777777" w:rsidR="00DD500A" w:rsidRPr="000B07E2" w:rsidRDefault="00DD500A" w:rsidP="000B07E2">
      <w:pPr>
        <w:pStyle w:val="StandaardSV"/>
        <w:rPr>
          <w:lang w:val="nl-BE"/>
        </w:rPr>
      </w:pPr>
    </w:p>
    <w:sectPr w:rsidR="00DD500A" w:rsidRPr="000B0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637A2"/>
    <w:multiLevelType w:val="hybridMultilevel"/>
    <w:tmpl w:val="E72AC628"/>
    <w:lvl w:ilvl="0" w:tplc="271CD0CA">
      <w:start w:val="3"/>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3BEA5033"/>
    <w:multiLevelType w:val="hybridMultilevel"/>
    <w:tmpl w:val="63529812"/>
    <w:lvl w:ilvl="0" w:tplc="5D8E7552">
      <w:start w:val="1"/>
      <w:numFmt w:val="decimal"/>
      <w:lvlText w:val="%1."/>
      <w:lvlJc w:val="left"/>
      <w:pPr>
        <w:ind w:left="786" w:hanging="360"/>
      </w:p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start w:val="1"/>
      <w:numFmt w:val="decimal"/>
      <w:lvlText w:val="%4."/>
      <w:lvlJc w:val="left"/>
      <w:pPr>
        <w:ind w:left="2946" w:hanging="360"/>
      </w:pPr>
    </w:lvl>
    <w:lvl w:ilvl="4" w:tplc="08130019">
      <w:start w:val="1"/>
      <w:numFmt w:val="lowerLetter"/>
      <w:lvlText w:val="%5."/>
      <w:lvlJc w:val="left"/>
      <w:pPr>
        <w:ind w:left="3666" w:hanging="360"/>
      </w:pPr>
    </w:lvl>
    <w:lvl w:ilvl="5" w:tplc="0813001B">
      <w:start w:val="1"/>
      <w:numFmt w:val="lowerRoman"/>
      <w:lvlText w:val="%6."/>
      <w:lvlJc w:val="right"/>
      <w:pPr>
        <w:ind w:left="4386" w:hanging="180"/>
      </w:pPr>
    </w:lvl>
    <w:lvl w:ilvl="6" w:tplc="0813000F">
      <w:start w:val="1"/>
      <w:numFmt w:val="decimal"/>
      <w:lvlText w:val="%7."/>
      <w:lvlJc w:val="left"/>
      <w:pPr>
        <w:ind w:left="5106" w:hanging="360"/>
      </w:pPr>
    </w:lvl>
    <w:lvl w:ilvl="7" w:tplc="08130019">
      <w:start w:val="1"/>
      <w:numFmt w:val="lowerLetter"/>
      <w:lvlText w:val="%8."/>
      <w:lvlJc w:val="left"/>
      <w:pPr>
        <w:ind w:left="5826" w:hanging="360"/>
      </w:pPr>
    </w:lvl>
    <w:lvl w:ilvl="8" w:tplc="0813001B">
      <w:start w:val="1"/>
      <w:numFmt w:val="lowerRoman"/>
      <w:lvlText w:val="%9."/>
      <w:lvlJc w:val="right"/>
      <w:pPr>
        <w:ind w:left="6546" w:hanging="180"/>
      </w:pPr>
    </w:lvl>
  </w:abstractNum>
  <w:abstractNum w:abstractNumId="2"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pPr>
        <w:tabs>
          <w:tab w:val="num" w:pos="432"/>
        </w:tabs>
        <w:ind w:left="431" w:hanging="431"/>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32"/>
        </w:tabs>
        <w:ind w:left="43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739982652">
    <w:abstractNumId w:val="2"/>
  </w:num>
  <w:num w:numId="2" w16cid:durableId="1631015873">
    <w:abstractNumId w:val="2"/>
  </w:num>
  <w:num w:numId="3" w16cid:durableId="523590907">
    <w:abstractNumId w:val="2"/>
  </w:num>
  <w:num w:numId="4" w16cid:durableId="1705475250">
    <w:abstractNumId w:val="2"/>
  </w:num>
  <w:num w:numId="5" w16cid:durableId="978265890">
    <w:abstractNumId w:val="2"/>
  </w:num>
  <w:num w:numId="6" w16cid:durableId="1723863845">
    <w:abstractNumId w:val="2"/>
  </w:num>
  <w:num w:numId="7" w16cid:durableId="1404908569">
    <w:abstractNumId w:val="2"/>
  </w:num>
  <w:num w:numId="8" w16cid:durableId="987169157">
    <w:abstractNumId w:val="2"/>
  </w:num>
  <w:num w:numId="9" w16cid:durableId="256788289">
    <w:abstractNumId w:val="2"/>
  </w:num>
  <w:num w:numId="10" w16cid:durableId="1815297772">
    <w:abstractNumId w:val="2"/>
  </w:num>
  <w:num w:numId="11" w16cid:durableId="507914547">
    <w:abstractNumId w:val="2"/>
  </w:num>
  <w:num w:numId="12" w16cid:durableId="68550695">
    <w:abstractNumId w:val="2"/>
  </w:num>
  <w:num w:numId="13" w16cid:durableId="1053625786">
    <w:abstractNumId w:val="2"/>
  </w:num>
  <w:num w:numId="14" w16cid:durableId="1712068792">
    <w:abstractNumId w:val="2"/>
  </w:num>
  <w:num w:numId="15" w16cid:durableId="1660575137">
    <w:abstractNumId w:val="2"/>
  </w:num>
  <w:num w:numId="16" w16cid:durableId="142233799">
    <w:abstractNumId w:val="2"/>
  </w:num>
  <w:num w:numId="17" w16cid:durableId="1373535517">
    <w:abstractNumId w:val="2"/>
  </w:num>
  <w:num w:numId="18" w16cid:durableId="2129153231">
    <w:abstractNumId w:val="2"/>
  </w:num>
  <w:num w:numId="19" w16cid:durableId="980424138">
    <w:abstractNumId w:val="2"/>
  </w:num>
  <w:num w:numId="20" w16cid:durableId="91553892">
    <w:abstractNumId w:val="2"/>
  </w:num>
  <w:num w:numId="21" w16cid:durableId="5207446">
    <w:abstractNumId w:val="2"/>
  </w:num>
  <w:num w:numId="22" w16cid:durableId="1149857722">
    <w:abstractNumId w:val="2"/>
  </w:num>
  <w:num w:numId="23" w16cid:durableId="1228347819">
    <w:abstractNumId w:val="2"/>
  </w:num>
  <w:num w:numId="24" w16cid:durableId="1884711121">
    <w:abstractNumId w:val="2"/>
  </w:num>
  <w:num w:numId="25" w16cid:durableId="1241673342">
    <w:abstractNumId w:val="2"/>
  </w:num>
  <w:num w:numId="26" w16cid:durableId="1411463168">
    <w:abstractNumId w:val="2"/>
  </w:num>
  <w:num w:numId="27" w16cid:durableId="1404597516">
    <w:abstractNumId w:val="2"/>
  </w:num>
  <w:num w:numId="28" w16cid:durableId="1478305491">
    <w:abstractNumId w:val="2"/>
  </w:num>
  <w:num w:numId="29" w16cid:durableId="995495566">
    <w:abstractNumId w:val="2"/>
  </w:num>
  <w:num w:numId="30" w16cid:durableId="2102531568">
    <w:abstractNumId w:val="2"/>
  </w:num>
  <w:num w:numId="31" w16cid:durableId="1834027780">
    <w:abstractNumId w:val="2"/>
  </w:num>
  <w:num w:numId="32" w16cid:durableId="1483231237">
    <w:abstractNumId w:val="2"/>
  </w:num>
  <w:num w:numId="33" w16cid:durableId="2081555324">
    <w:abstractNumId w:val="2"/>
  </w:num>
  <w:num w:numId="34" w16cid:durableId="1132553387">
    <w:abstractNumId w:val="2"/>
  </w:num>
  <w:num w:numId="35" w16cid:durableId="1094669599">
    <w:abstractNumId w:val="2"/>
  </w:num>
  <w:num w:numId="36" w16cid:durableId="1577475164">
    <w:abstractNumId w:val="2"/>
  </w:num>
  <w:num w:numId="37" w16cid:durableId="772018819">
    <w:abstractNumId w:val="2"/>
  </w:num>
  <w:num w:numId="38" w16cid:durableId="1042359998">
    <w:abstractNumId w:val="2"/>
  </w:num>
  <w:num w:numId="39" w16cid:durableId="710226241">
    <w:abstractNumId w:val="2"/>
  </w:num>
  <w:num w:numId="40" w16cid:durableId="176384409">
    <w:abstractNumId w:val="2"/>
  </w:num>
  <w:num w:numId="41" w16cid:durableId="1111130092">
    <w:abstractNumId w:val="2"/>
  </w:num>
  <w:num w:numId="42" w16cid:durableId="2080202113">
    <w:abstractNumId w:val="2"/>
  </w:num>
  <w:num w:numId="43" w16cid:durableId="1161119433">
    <w:abstractNumId w:val="2"/>
  </w:num>
  <w:num w:numId="44" w16cid:durableId="2049983420">
    <w:abstractNumId w:val="2"/>
  </w:num>
  <w:num w:numId="45" w16cid:durableId="626198398">
    <w:abstractNumId w:val="2"/>
  </w:num>
  <w:num w:numId="46" w16cid:durableId="1228689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1346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83"/>
    <w:rsid w:val="000B07E2"/>
    <w:rsid w:val="00214C83"/>
    <w:rsid w:val="0044462C"/>
    <w:rsid w:val="00471562"/>
    <w:rsid w:val="007C11F4"/>
    <w:rsid w:val="00821058"/>
    <w:rsid w:val="00B63EBD"/>
    <w:rsid w:val="00DD50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02B4"/>
  <w15:docId w15:val="{F9AAB7E3-7ADC-4B7D-AAEE-068F85B0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entres.weforum.org/centre-for-regions-trade-and-geopolitics/hom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6403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3</cp:revision>
  <dcterms:created xsi:type="dcterms:W3CDTF">2014-07-01T11:03:00Z</dcterms:created>
  <dcterms:modified xsi:type="dcterms:W3CDTF">2023-06-02T11:09:00Z</dcterms:modified>
</cp:coreProperties>
</file>