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716E" w:rsidRPr="00B10AAD" w:rsidRDefault="00B10AAD">
      <w:pPr>
        <w:jc w:val="both"/>
        <w:rPr>
          <w:rFonts w:ascii="Verdana" w:eastAsia="Verdana" w:hAnsi="Verdana" w:cs="Verdana"/>
          <w:b/>
          <w:smallCaps/>
          <w:sz w:val="20"/>
          <w:szCs w:val="20"/>
        </w:rPr>
      </w:pPr>
      <w:bookmarkStart w:id="0" w:name="_gjdgxs" w:colFirst="0" w:colLast="0"/>
      <w:bookmarkEnd w:id="0"/>
      <w:r w:rsidRPr="00B10AAD">
        <w:rPr>
          <w:rFonts w:ascii="Verdana" w:eastAsia="Verdana" w:hAnsi="Verdana" w:cs="Verdana"/>
          <w:b/>
          <w:smallCaps/>
          <w:sz w:val="20"/>
          <w:szCs w:val="20"/>
        </w:rPr>
        <w:t>jo brouns</w:t>
      </w:r>
    </w:p>
    <w:p w14:paraId="00000002" w14:textId="77777777" w:rsidR="00C2716E" w:rsidRPr="00B10AAD" w:rsidRDefault="00B10AAD">
      <w:pPr>
        <w:jc w:val="both"/>
        <w:rPr>
          <w:rFonts w:ascii="Verdana" w:eastAsia="Verdana" w:hAnsi="Verdana" w:cs="Verdana"/>
          <w:smallCaps/>
          <w:sz w:val="20"/>
          <w:szCs w:val="20"/>
        </w:rPr>
      </w:pPr>
      <w:r w:rsidRPr="00B10AAD">
        <w:rPr>
          <w:rFonts w:ascii="Verdana" w:eastAsia="Verdana" w:hAnsi="Verdana" w:cs="Verdana"/>
          <w:smallCaps/>
          <w:sz w:val="20"/>
          <w:szCs w:val="20"/>
        </w:rPr>
        <w:t>vlaams minister van economie, innovatie, werk, sociale economie en landbouw</w:t>
      </w:r>
    </w:p>
    <w:p w14:paraId="00000003" w14:textId="77777777" w:rsidR="00C2716E" w:rsidRPr="00B10AAD" w:rsidRDefault="00C2716E">
      <w:pPr>
        <w:pBdr>
          <w:bottom w:val="single" w:sz="4" w:space="1" w:color="000000"/>
        </w:pBdr>
        <w:jc w:val="both"/>
        <w:rPr>
          <w:rFonts w:ascii="Verdana" w:eastAsia="Verdana" w:hAnsi="Verdana" w:cs="Verdana"/>
          <w:sz w:val="20"/>
          <w:szCs w:val="20"/>
        </w:rPr>
      </w:pPr>
    </w:p>
    <w:p w14:paraId="00000004" w14:textId="77777777" w:rsidR="00C2716E" w:rsidRPr="00B10AAD" w:rsidRDefault="00C2716E">
      <w:pPr>
        <w:jc w:val="both"/>
        <w:rPr>
          <w:rFonts w:ascii="Verdana" w:eastAsia="Verdana" w:hAnsi="Verdana" w:cs="Verdana"/>
          <w:b/>
          <w:smallCaps/>
          <w:sz w:val="20"/>
          <w:szCs w:val="20"/>
        </w:rPr>
      </w:pPr>
    </w:p>
    <w:p w14:paraId="00000005" w14:textId="77777777" w:rsidR="00C2716E" w:rsidRPr="00B10AAD" w:rsidRDefault="00B10AAD">
      <w:pPr>
        <w:jc w:val="both"/>
        <w:rPr>
          <w:rFonts w:ascii="Verdana" w:eastAsia="Verdana" w:hAnsi="Verdana" w:cs="Verdana"/>
          <w:sz w:val="20"/>
          <w:szCs w:val="20"/>
        </w:rPr>
      </w:pPr>
      <w:r w:rsidRPr="00B10AAD">
        <w:rPr>
          <w:rFonts w:ascii="Verdana" w:eastAsia="Verdana" w:hAnsi="Verdana" w:cs="Verdana"/>
          <w:b/>
          <w:smallCaps/>
          <w:sz w:val="20"/>
          <w:szCs w:val="20"/>
        </w:rPr>
        <w:t>antwoord</w:t>
      </w:r>
      <w:r w:rsidRPr="00B10AAD">
        <w:rPr>
          <w:rFonts w:ascii="Verdana" w:eastAsia="Verdana" w:hAnsi="Verdana" w:cs="Verdana"/>
          <w:sz w:val="20"/>
          <w:szCs w:val="20"/>
        </w:rPr>
        <w:t xml:space="preserve"> </w:t>
      </w:r>
    </w:p>
    <w:p w14:paraId="00000006" w14:textId="564B5458" w:rsidR="00C2716E" w:rsidRPr="00B10AAD" w:rsidRDefault="00B10AAD">
      <w:pPr>
        <w:jc w:val="both"/>
        <w:rPr>
          <w:rFonts w:ascii="Verdana" w:eastAsia="Verdana" w:hAnsi="Verdana" w:cs="Verdana"/>
          <w:sz w:val="20"/>
          <w:szCs w:val="20"/>
        </w:rPr>
      </w:pPr>
      <w:r w:rsidRPr="00B10AAD">
        <w:rPr>
          <w:rFonts w:ascii="Verdana" w:eastAsia="Verdana" w:hAnsi="Verdana" w:cs="Verdana"/>
          <w:sz w:val="20"/>
          <w:szCs w:val="20"/>
        </w:rPr>
        <w:t>op vraag nr. 12 van 5 oktober 2023</w:t>
      </w:r>
    </w:p>
    <w:p w14:paraId="00000007" w14:textId="77777777" w:rsidR="00C2716E" w:rsidRPr="00B10AAD" w:rsidRDefault="00B10AAD">
      <w:pPr>
        <w:jc w:val="both"/>
        <w:rPr>
          <w:rFonts w:ascii="Verdana" w:eastAsia="Verdana" w:hAnsi="Verdana" w:cs="Verdana"/>
          <w:sz w:val="20"/>
          <w:szCs w:val="20"/>
        </w:rPr>
      </w:pPr>
      <w:r w:rsidRPr="00B10AAD">
        <w:rPr>
          <w:rFonts w:ascii="Verdana" w:eastAsia="Verdana" w:hAnsi="Verdana" w:cs="Verdana"/>
          <w:sz w:val="20"/>
          <w:szCs w:val="20"/>
        </w:rPr>
        <w:t xml:space="preserve">van </w:t>
      </w:r>
      <w:r w:rsidRPr="00B10AAD">
        <w:rPr>
          <w:rFonts w:ascii="Verdana" w:eastAsia="Verdana" w:hAnsi="Verdana" w:cs="Verdana"/>
          <w:b/>
          <w:smallCaps/>
          <w:sz w:val="20"/>
          <w:szCs w:val="20"/>
        </w:rPr>
        <w:t>ilse malfroot</w:t>
      </w:r>
    </w:p>
    <w:p w14:paraId="6FE91548" w14:textId="77777777" w:rsidR="00C2716E" w:rsidRPr="00B10AAD" w:rsidRDefault="00C2716E">
      <w:pPr>
        <w:pBdr>
          <w:bottom w:val="single" w:sz="4" w:space="1" w:color="000000"/>
        </w:pBdr>
        <w:jc w:val="both"/>
        <w:rPr>
          <w:rFonts w:ascii="Verdana" w:eastAsia="Verdana" w:hAnsi="Verdana" w:cs="Verdana"/>
          <w:sz w:val="20"/>
          <w:szCs w:val="20"/>
        </w:rPr>
      </w:pPr>
    </w:p>
    <w:p w14:paraId="00000008" w14:textId="6ABD0155" w:rsidR="00B10AAD" w:rsidRPr="00B10AAD" w:rsidRDefault="00B10AAD">
      <w:pPr>
        <w:pBdr>
          <w:bottom w:val="single" w:sz="4" w:space="1" w:color="000000"/>
        </w:pBdr>
        <w:jc w:val="both"/>
        <w:rPr>
          <w:rFonts w:ascii="Verdana" w:eastAsia="Verdana" w:hAnsi="Verdana" w:cs="Verdana"/>
          <w:sz w:val="20"/>
          <w:szCs w:val="20"/>
        </w:rPr>
        <w:sectPr w:rsidR="00B10AAD" w:rsidRPr="00B10AAD">
          <w:footerReference w:type="default" r:id="rId9"/>
          <w:pgSz w:w="11906" w:h="16838"/>
          <w:pgMar w:top="1417" w:right="1417" w:bottom="1417" w:left="1417" w:header="709" w:footer="709" w:gutter="0"/>
          <w:pgNumType w:start="1"/>
          <w:cols w:space="708"/>
        </w:sectPr>
      </w:pPr>
    </w:p>
    <w:p w14:paraId="00000009" w14:textId="77777777" w:rsidR="00C2716E" w:rsidRDefault="00C2716E">
      <w:pPr>
        <w:pBdr>
          <w:top w:val="nil"/>
          <w:left w:val="nil"/>
          <w:bottom w:val="nil"/>
          <w:right w:val="nil"/>
          <w:between w:val="nil"/>
        </w:pBdr>
        <w:jc w:val="both"/>
        <w:rPr>
          <w:rFonts w:ascii="Verdana" w:eastAsia="Verdana" w:hAnsi="Verdana" w:cs="Verdana"/>
          <w:sz w:val="20"/>
          <w:szCs w:val="20"/>
        </w:rPr>
      </w:pPr>
    </w:p>
    <w:p w14:paraId="5A179BC5" w14:textId="77777777" w:rsidR="00B801D0" w:rsidRPr="00B10AAD" w:rsidRDefault="00B801D0">
      <w:pPr>
        <w:pBdr>
          <w:top w:val="nil"/>
          <w:left w:val="nil"/>
          <w:bottom w:val="nil"/>
          <w:right w:val="nil"/>
          <w:between w:val="nil"/>
        </w:pBdr>
        <w:jc w:val="both"/>
        <w:rPr>
          <w:rFonts w:ascii="Verdana" w:eastAsia="Verdana" w:hAnsi="Verdana" w:cs="Verdana"/>
          <w:sz w:val="20"/>
          <w:szCs w:val="20"/>
        </w:rPr>
      </w:pPr>
    </w:p>
    <w:p w14:paraId="0000000A" w14:textId="2F87F7BF" w:rsidR="00C2716E" w:rsidRPr="00B801D0" w:rsidRDefault="00B10AAD" w:rsidP="00B801D0">
      <w:pPr>
        <w:pStyle w:val="Lijstalinea"/>
        <w:numPr>
          <w:ilvl w:val="0"/>
          <w:numId w:val="1"/>
        </w:numPr>
        <w:pBdr>
          <w:top w:val="nil"/>
          <w:left w:val="nil"/>
          <w:bottom w:val="nil"/>
          <w:right w:val="nil"/>
          <w:between w:val="nil"/>
        </w:pBdr>
        <w:jc w:val="both"/>
        <w:rPr>
          <w:rFonts w:ascii="Verdana" w:eastAsia="Verdana" w:hAnsi="Verdana" w:cs="Verdana"/>
          <w:sz w:val="20"/>
          <w:szCs w:val="20"/>
        </w:rPr>
      </w:pPr>
      <w:r w:rsidRPr="00B801D0">
        <w:rPr>
          <w:rFonts w:ascii="Verdana" w:eastAsia="Verdana" w:hAnsi="Verdana" w:cs="Verdana"/>
          <w:sz w:val="20"/>
          <w:szCs w:val="20"/>
        </w:rPr>
        <w:t>In bijlage 1 wordt een overzicht gegeven van de opleidingslocaties van VDAB</w:t>
      </w:r>
    </w:p>
    <w:p w14:paraId="0000000B" w14:textId="77777777" w:rsidR="00C2716E" w:rsidRPr="00B10AAD" w:rsidRDefault="00C2716E">
      <w:pPr>
        <w:pBdr>
          <w:top w:val="nil"/>
          <w:left w:val="nil"/>
          <w:bottom w:val="nil"/>
          <w:right w:val="nil"/>
          <w:between w:val="nil"/>
        </w:pBdr>
        <w:jc w:val="both"/>
        <w:rPr>
          <w:rFonts w:ascii="Verdana" w:eastAsia="Verdana" w:hAnsi="Verdana" w:cs="Verdana"/>
          <w:sz w:val="20"/>
          <w:szCs w:val="20"/>
        </w:rPr>
      </w:pPr>
    </w:p>
    <w:p w14:paraId="0000000C" w14:textId="2AFD8D44" w:rsidR="00C2716E" w:rsidRPr="00B801D0" w:rsidRDefault="00B10AAD" w:rsidP="00B801D0">
      <w:pPr>
        <w:pStyle w:val="Lijstalinea"/>
        <w:numPr>
          <w:ilvl w:val="0"/>
          <w:numId w:val="1"/>
        </w:numPr>
        <w:pBdr>
          <w:top w:val="nil"/>
          <w:left w:val="nil"/>
          <w:bottom w:val="nil"/>
          <w:right w:val="nil"/>
          <w:between w:val="nil"/>
        </w:pBdr>
        <w:jc w:val="both"/>
        <w:rPr>
          <w:rFonts w:ascii="Verdana" w:eastAsia="Verdana" w:hAnsi="Verdana" w:cs="Verdana"/>
          <w:sz w:val="20"/>
          <w:szCs w:val="20"/>
        </w:rPr>
      </w:pPr>
      <w:r w:rsidRPr="00B801D0">
        <w:rPr>
          <w:rFonts w:ascii="Verdana" w:eastAsia="Verdana" w:hAnsi="Verdana" w:cs="Verdana"/>
          <w:sz w:val="20"/>
          <w:szCs w:val="20"/>
        </w:rPr>
        <w:t>In bijlage 2 wordt een overzicht gegeven van het aantal opleidingsacties door werkzoekenden en werknemers in de VDAB opleidingslocaties door VDAB en partners. Cijfers 2023 betreffen opleidingsacties tot en met juni 2023.</w:t>
      </w:r>
    </w:p>
    <w:p w14:paraId="0000000D" w14:textId="77777777" w:rsidR="00C2716E" w:rsidRPr="00B10AAD" w:rsidRDefault="00B10AAD" w:rsidP="00B801D0">
      <w:pPr>
        <w:pBdr>
          <w:top w:val="nil"/>
          <w:left w:val="nil"/>
          <w:bottom w:val="nil"/>
          <w:right w:val="nil"/>
          <w:between w:val="nil"/>
        </w:pBdr>
        <w:ind w:left="360"/>
        <w:jc w:val="both"/>
        <w:rPr>
          <w:rFonts w:ascii="Verdana" w:eastAsia="Verdana" w:hAnsi="Verdana" w:cs="Verdana"/>
          <w:sz w:val="20"/>
          <w:szCs w:val="20"/>
        </w:rPr>
      </w:pPr>
      <w:r w:rsidRPr="00B10AAD">
        <w:rPr>
          <w:rFonts w:ascii="Verdana" w:eastAsia="Verdana" w:hAnsi="Verdana" w:cs="Verdana"/>
          <w:sz w:val="20"/>
          <w:szCs w:val="20"/>
        </w:rPr>
        <w:t>VDAB heeft geen registratie van het aantal dagen effectief gebruik en leegstand van de opleidingscentra.</w:t>
      </w:r>
    </w:p>
    <w:p w14:paraId="0000000E" w14:textId="77777777" w:rsidR="00C2716E" w:rsidRPr="00B10AAD" w:rsidRDefault="00C2716E">
      <w:pPr>
        <w:pBdr>
          <w:top w:val="nil"/>
          <w:left w:val="nil"/>
          <w:bottom w:val="nil"/>
          <w:right w:val="nil"/>
          <w:between w:val="nil"/>
        </w:pBdr>
        <w:jc w:val="both"/>
        <w:rPr>
          <w:rFonts w:ascii="Verdana" w:eastAsia="Verdana" w:hAnsi="Verdana" w:cs="Verdana"/>
          <w:sz w:val="20"/>
          <w:szCs w:val="20"/>
        </w:rPr>
      </w:pPr>
    </w:p>
    <w:p w14:paraId="0000000F" w14:textId="10998F97" w:rsidR="00C2716E" w:rsidRPr="00B801D0" w:rsidRDefault="00B10AAD" w:rsidP="00B801D0">
      <w:pPr>
        <w:pStyle w:val="Lijstalinea"/>
        <w:numPr>
          <w:ilvl w:val="0"/>
          <w:numId w:val="1"/>
        </w:numPr>
        <w:pBdr>
          <w:top w:val="nil"/>
          <w:left w:val="nil"/>
          <w:bottom w:val="nil"/>
          <w:right w:val="nil"/>
          <w:between w:val="nil"/>
        </w:pBdr>
        <w:jc w:val="both"/>
        <w:rPr>
          <w:rFonts w:ascii="Verdana" w:eastAsia="Verdana" w:hAnsi="Verdana" w:cs="Verdana"/>
          <w:sz w:val="20"/>
          <w:szCs w:val="20"/>
        </w:rPr>
      </w:pPr>
      <w:r w:rsidRPr="00B801D0">
        <w:rPr>
          <w:rFonts w:ascii="Verdana" w:eastAsia="Verdana" w:hAnsi="Verdana" w:cs="Verdana"/>
          <w:sz w:val="20"/>
          <w:szCs w:val="20"/>
        </w:rPr>
        <w:t>In bijlage 3 wordt een overzicht gegeven van het aantal opleidingsacties door leerlingen  in de VDAB opleidingslocaties door scholen. Cijfers 2023 betreffen opleidingsacties tot en met juni 2023.</w:t>
      </w:r>
    </w:p>
    <w:p w14:paraId="00000010" w14:textId="77777777" w:rsidR="00C2716E" w:rsidRPr="00B10AAD" w:rsidRDefault="00B10AAD" w:rsidP="00B801D0">
      <w:pPr>
        <w:ind w:left="360"/>
        <w:jc w:val="both"/>
        <w:rPr>
          <w:rFonts w:ascii="Verdana" w:eastAsia="Verdana" w:hAnsi="Verdana" w:cs="Verdana"/>
          <w:sz w:val="20"/>
          <w:szCs w:val="20"/>
        </w:rPr>
      </w:pPr>
      <w:r w:rsidRPr="00B10AAD">
        <w:rPr>
          <w:rFonts w:ascii="Verdana" w:eastAsia="Verdana" w:hAnsi="Verdana" w:cs="Verdana"/>
          <w:sz w:val="20"/>
          <w:szCs w:val="20"/>
        </w:rPr>
        <w:t>VDAB heeft geen registratie van het aantal dagen effectief gebruik en leegstand van de opleidingscentra.</w:t>
      </w:r>
    </w:p>
    <w:p w14:paraId="00000011" w14:textId="77777777" w:rsidR="00C2716E" w:rsidRPr="00B10AAD" w:rsidRDefault="00C2716E">
      <w:pPr>
        <w:pBdr>
          <w:top w:val="nil"/>
          <w:left w:val="nil"/>
          <w:bottom w:val="nil"/>
          <w:right w:val="nil"/>
          <w:between w:val="nil"/>
        </w:pBdr>
        <w:jc w:val="both"/>
        <w:rPr>
          <w:rFonts w:ascii="Verdana" w:eastAsia="Verdana" w:hAnsi="Verdana" w:cs="Verdana"/>
          <w:sz w:val="20"/>
          <w:szCs w:val="20"/>
        </w:rPr>
      </w:pPr>
    </w:p>
    <w:p w14:paraId="00000012" w14:textId="722A3F0B" w:rsidR="00C2716E" w:rsidRPr="00B801D0" w:rsidRDefault="00B10AAD" w:rsidP="00B801D0">
      <w:pPr>
        <w:pStyle w:val="Lijstalinea"/>
        <w:numPr>
          <w:ilvl w:val="0"/>
          <w:numId w:val="1"/>
        </w:numPr>
        <w:pBdr>
          <w:top w:val="nil"/>
          <w:left w:val="nil"/>
          <w:bottom w:val="nil"/>
          <w:right w:val="nil"/>
          <w:between w:val="nil"/>
        </w:pBdr>
        <w:jc w:val="both"/>
        <w:rPr>
          <w:rFonts w:ascii="Verdana" w:eastAsia="Verdana" w:hAnsi="Verdana" w:cs="Verdana"/>
          <w:sz w:val="20"/>
          <w:szCs w:val="20"/>
        </w:rPr>
      </w:pPr>
      <w:r w:rsidRPr="00B801D0">
        <w:rPr>
          <w:rFonts w:ascii="Verdana" w:eastAsia="Verdana" w:hAnsi="Verdana" w:cs="Verdana"/>
          <w:sz w:val="20"/>
          <w:szCs w:val="20"/>
        </w:rPr>
        <w:t>Naast opleidingen die doorgaan in de VDAB opleidingslocaties organiseert VDAB ook opleidingen mobiel ofwel op een lokale locatie ofwel op een werkvloer van de werkgever. Opleidingen die VDAB erkend en uitbesteed aan een partner kunnen doorgaan op een partnerlocatie.</w:t>
      </w:r>
    </w:p>
    <w:p w14:paraId="00000013" w14:textId="77777777" w:rsidR="00C2716E" w:rsidRPr="00B10AAD" w:rsidRDefault="00C2716E">
      <w:pPr>
        <w:pBdr>
          <w:top w:val="nil"/>
          <w:left w:val="nil"/>
          <w:bottom w:val="nil"/>
          <w:right w:val="nil"/>
          <w:between w:val="nil"/>
        </w:pBdr>
        <w:jc w:val="both"/>
        <w:rPr>
          <w:rFonts w:ascii="Verdana" w:eastAsia="Verdana" w:hAnsi="Verdana" w:cs="Verdana"/>
          <w:sz w:val="20"/>
          <w:szCs w:val="20"/>
        </w:rPr>
      </w:pPr>
    </w:p>
    <w:p w14:paraId="00000014" w14:textId="693E7534" w:rsidR="00C2716E" w:rsidRPr="00B801D0" w:rsidRDefault="00B10AAD" w:rsidP="00B801D0">
      <w:pPr>
        <w:pStyle w:val="Lijstalinea"/>
        <w:numPr>
          <w:ilvl w:val="0"/>
          <w:numId w:val="1"/>
        </w:numPr>
        <w:pBdr>
          <w:top w:val="nil"/>
          <w:left w:val="nil"/>
          <w:bottom w:val="nil"/>
          <w:right w:val="nil"/>
          <w:between w:val="nil"/>
        </w:pBdr>
        <w:jc w:val="both"/>
        <w:rPr>
          <w:rFonts w:ascii="Verdana" w:eastAsia="Verdana" w:hAnsi="Verdana" w:cs="Verdana"/>
          <w:sz w:val="20"/>
          <w:szCs w:val="20"/>
        </w:rPr>
      </w:pPr>
      <w:r w:rsidRPr="00B801D0">
        <w:rPr>
          <w:rFonts w:ascii="Verdana" w:eastAsia="Verdana" w:hAnsi="Verdana" w:cs="Verdana"/>
          <w:sz w:val="20"/>
          <w:szCs w:val="20"/>
        </w:rPr>
        <w:t>In bijlage 4 wordt een overzicht gegeven van de kostprijs van de locaties competententieversterking uit de kostenboekhouding.</w:t>
      </w:r>
    </w:p>
    <w:p w14:paraId="00000015" w14:textId="77777777" w:rsidR="00C2716E" w:rsidRPr="00B10AAD" w:rsidRDefault="00C2716E">
      <w:pPr>
        <w:pBdr>
          <w:top w:val="nil"/>
          <w:left w:val="nil"/>
          <w:bottom w:val="nil"/>
          <w:right w:val="nil"/>
          <w:between w:val="nil"/>
        </w:pBdr>
        <w:jc w:val="both"/>
        <w:rPr>
          <w:rFonts w:ascii="Verdana" w:eastAsia="Verdana" w:hAnsi="Verdana" w:cs="Verdana"/>
          <w:sz w:val="20"/>
          <w:szCs w:val="20"/>
        </w:rPr>
      </w:pPr>
    </w:p>
    <w:p w14:paraId="00000016" w14:textId="10A95C84" w:rsidR="00C2716E" w:rsidRPr="00B10AAD" w:rsidRDefault="00B10AAD" w:rsidP="00B801D0">
      <w:pPr>
        <w:pBdr>
          <w:top w:val="nil"/>
          <w:left w:val="nil"/>
          <w:bottom w:val="nil"/>
          <w:right w:val="nil"/>
          <w:between w:val="nil"/>
        </w:pBdr>
        <w:ind w:left="426" w:hanging="426"/>
        <w:jc w:val="both"/>
        <w:rPr>
          <w:rFonts w:ascii="Verdana" w:eastAsia="Verdana" w:hAnsi="Verdana" w:cs="Verdana"/>
          <w:sz w:val="20"/>
          <w:szCs w:val="20"/>
        </w:rPr>
      </w:pPr>
      <w:r w:rsidRPr="3C42EF8B">
        <w:rPr>
          <w:rFonts w:ascii="Verdana" w:eastAsia="Verdana" w:hAnsi="Verdana" w:cs="Verdana"/>
          <w:sz w:val="20"/>
          <w:szCs w:val="20"/>
        </w:rPr>
        <w:t>6</w:t>
      </w:r>
      <w:r w:rsidR="00B801D0">
        <w:rPr>
          <w:rFonts w:ascii="Verdana" w:eastAsia="Verdana" w:hAnsi="Verdana" w:cs="Verdana"/>
          <w:sz w:val="20"/>
          <w:szCs w:val="20"/>
        </w:rPr>
        <w:t>-</w:t>
      </w:r>
      <w:r w:rsidRPr="3C42EF8B">
        <w:rPr>
          <w:rFonts w:ascii="Verdana" w:eastAsia="Verdana" w:hAnsi="Verdana" w:cs="Verdana"/>
          <w:sz w:val="20"/>
          <w:szCs w:val="20"/>
        </w:rPr>
        <w:t>8.</w:t>
      </w:r>
      <w:r w:rsidR="00B801D0">
        <w:rPr>
          <w:rFonts w:ascii="Verdana" w:eastAsia="Verdana" w:hAnsi="Verdana" w:cs="Verdana"/>
          <w:sz w:val="20"/>
          <w:szCs w:val="20"/>
        </w:rPr>
        <w:tab/>
      </w:r>
      <w:r w:rsidRPr="3C42EF8B">
        <w:rPr>
          <w:rFonts w:ascii="Verdana" w:eastAsia="Verdana" w:hAnsi="Verdana" w:cs="Verdana"/>
          <w:sz w:val="20"/>
          <w:szCs w:val="20"/>
        </w:rPr>
        <w:t xml:space="preserve">VDAB heeft met zijn “Nabijheidstrategie” een vastgoedplan uitgetekend voor de toekomst. Dit plan vertrekt vanuit een uitgebreide arbeidsmarktanalyse en studies die de toekomstige evolutie van de arbeidsmarkt onderzocht hebben. De nood aan competentieversterking bij werkzoekenden om de gap met de competenties die gevraagd worden bij vacatures is hierdoor in kaart gebracht en is vertaald naar een overzicht van waar welk type opleiding nodig </w:t>
      </w:r>
      <w:r w:rsidR="73BDFC2C" w:rsidRPr="3C42EF8B">
        <w:rPr>
          <w:rFonts w:ascii="Verdana" w:eastAsia="Verdana" w:hAnsi="Verdana" w:cs="Verdana"/>
          <w:sz w:val="20"/>
          <w:szCs w:val="20"/>
        </w:rPr>
        <w:t>is</w:t>
      </w:r>
      <w:r w:rsidRPr="3C42EF8B">
        <w:rPr>
          <w:rFonts w:ascii="Verdana" w:eastAsia="Verdana" w:hAnsi="Verdana" w:cs="Verdana"/>
          <w:sz w:val="20"/>
          <w:szCs w:val="20"/>
        </w:rPr>
        <w:t xml:space="preserve">. Bij de keuze en inrichting van de locatie houden we </w:t>
      </w:r>
      <w:r w:rsidR="0001068E">
        <w:rPr>
          <w:rFonts w:ascii="Verdana" w:eastAsia="Verdana" w:hAnsi="Verdana" w:cs="Verdana"/>
          <w:sz w:val="20"/>
          <w:szCs w:val="20"/>
        </w:rPr>
        <w:t>ook</w:t>
      </w:r>
      <w:r w:rsidRPr="3C42EF8B">
        <w:rPr>
          <w:rFonts w:ascii="Verdana" w:eastAsia="Verdana" w:hAnsi="Verdana" w:cs="Verdana"/>
          <w:sz w:val="20"/>
          <w:szCs w:val="20"/>
        </w:rPr>
        <w:t xml:space="preserve"> rekening met de ligging en bereikbaarheid met openbaar vervoer van de campus, de digitalisering van de dienstverlening en de duurzaamheidseisen. Om tot een optimaal gebruik van de opleidingsinfrastructuur te komen werken we samen met partners (Syntra’s, CVO’s, …).   </w:t>
      </w:r>
    </w:p>
    <w:p w14:paraId="00000017" w14:textId="77777777" w:rsidR="00C2716E" w:rsidRPr="00B10AAD" w:rsidRDefault="00C2716E">
      <w:pPr>
        <w:pBdr>
          <w:top w:val="nil"/>
          <w:left w:val="nil"/>
          <w:bottom w:val="nil"/>
          <w:right w:val="nil"/>
          <w:between w:val="nil"/>
        </w:pBdr>
        <w:jc w:val="both"/>
        <w:rPr>
          <w:rFonts w:ascii="Verdana" w:eastAsia="Verdana" w:hAnsi="Verdana" w:cs="Verdana"/>
          <w:sz w:val="20"/>
          <w:szCs w:val="20"/>
        </w:rPr>
      </w:pPr>
    </w:p>
    <w:p w14:paraId="00000018" w14:textId="0C084201" w:rsidR="00C2716E" w:rsidRPr="00B10AAD" w:rsidRDefault="00B10AAD" w:rsidP="00B801D0">
      <w:pPr>
        <w:pBdr>
          <w:top w:val="nil"/>
          <w:left w:val="nil"/>
          <w:bottom w:val="nil"/>
          <w:right w:val="nil"/>
          <w:between w:val="nil"/>
        </w:pBdr>
        <w:ind w:left="426" w:hanging="426"/>
        <w:jc w:val="both"/>
        <w:rPr>
          <w:rFonts w:ascii="Verdana" w:eastAsia="Verdana" w:hAnsi="Verdana" w:cs="Verdana"/>
          <w:sz w:val="20"/>
          <w:szCs w:val="20"/>
        </w:rPr>
      </w:pPr>
      <w:r w:rsidRPr="00B10AAD">
        <w:rPr>
          <w:rFonts w:ascii="Verdana" w:eastAsia="Verdana" w:hAnsi="Verdana" w:cs="Verdana"/>
          <w:sz w:val="20"/>
          <w:szCs w:val="20"/>
        </w:rPr>
        <w:t>9.</w:t>
      </w:r>
      <w:r w:rsidR="00B801D0">
        <w:rPr>
          <w:rFonts w:ascii="Verdana" w:eastAsia="Verdana" w:hAnsi="Verdana" w:cs="Verdana"/>
          <w:sz w:val="20"/>
          <w:szCs w:val="20"/>
        </w:rPr>
        <w:tab/>
      </w:r>
      <w:r w:rsidRPr="00B10AAD">
        <w:rPr>
          <w:rFonts w:ascii="Verdana" w:eastAsia="Verdana" w:hAnsi="Verdana" w:cs="Verdana"/>
          <w:sz w:val="20"/>
          <w:szCs w:val="20"/>
        </w:rPr>
        <w:t>De scholen zijn in het algemeen tevreden met het aanbod van de 10-dagenregeling. Het maximaal aantal dagen wordt bijna niet gevraagd uitgenomen bij goederenbehandeling (heftruck). De RTC’s fungeren als inschrijvings- en opvolgingsloket en hebben verder geen vragen voor uitbreiding van het aantal dagen ontvangen. Bij goederenbehandeling (heftruck) is door een verwachte stijgende vraag en om geen verdringingseffect te creëren naar de werkzoekenden in samenspraak met de vertegenwoordigers van de scholen een voorstel van 5 dagen geformuleerd om alle scholen de mogelijkheid van praktijklessen op de VDAB-infrastructuur te kunnen aanbieden.</w:t>
      </w:r>
    </w:p>
    <w:p w14:paraId="00000019" w14:textId="77777777" w:rsidR="00C2716E" w:rsidRDefault="00C2716E">
      <w:pPr>
        <w:pBdr>
          <w:top w:val="nil"/>
          <w:left w:val="nil"/>
          <w:bottom w:val="nil"/>
          <w:right w:val="nil"/>
          <w:between w:val="nil"/>
        </w:pBdr>
        <w:jc w:val="both"/>
        <w:rPr>
          <w:rFonts w:ascii="Verdana" w:eastAsia="Verdana" w:hAnsi="Verdana" w:cs="Verdana"/>
          <w:sz w:val="20"/>
          <w:szCs w:val="20"/>
        </w:rPr>
      </w:pPr>
    </w:p>
    <w:p w14:paraId="178E8C87" w14:textId="77777777" w:rsidR="00B801D0" w:rsidRPr="00B10AAD" w:rsidRDefault="00B801D0">
      <w:pPr>
        <w:pBdr>
          <w:top w:val="nil"/>
          <w:left w:val="nil"/>
          <w:bottom w:val="nil"/>
          <w:right w:val="nil"/>
          <w:between w:val="nil"/>
        </w:pBdr>
        <w:jc w:val="both"/>
        <w:rPr>
          <w:rFonts w:ascii="Verdana" w:eastAsia="Verdana" w:hAnsi="Verdana" w:cs="Verdana"/>
          <w:sz w:val="20"/>
          <w:szCs w:val="20"/>
        </w:rPr>
      </w:pPr>
    </w:p>
    <w:p w14:paraId="089C4E89" w14:textId="77777777" w:rsidR="00B801D0" w:rsidRDefault="00B801D0">
      <w:pPr>
        <w:rPr>
          <w:rFonts w:ascii="Verdana" w:eastAsia="Verdana" w:hAnsi="Verdana" w:cs="Verdana"/>
          <w:b/>
          <w:smallCaps/>
          <w:color w:val="FF0000"/>
          <w:sz w:val="20"/>
          <w:szCs w:val="20"/>
          <w:u w:val="single"/>
        </w:rPr>
      </w:pPr>
      <w:r>
        <w:rPr>
          <w:rFonts w:ascii="Verdana" w:eastAsia="Verdana" w:hAnsi="Verdana" w:cs="Verdana"/>
          <w:b/>
          <w:smallCaps/>
          <w:color w:val="FF0000"/>
          <w:sz w:val="20"/>
          <w:szCs w:val="20"/>
          <w:u w:val="single"/>
        </w:rPr>
        <w:br w:type="page"/>
      </w:r>
    </w:p>
    <w:p w14:paraId="488628E2" w14:textId="52B1C340" w:rsidR="001F73A9" w:rsidRDefault="001F73A9" w:rsidP="001F73A9">
      <w:pPr>
        <w:jc w:val="both"/>
        <w:rPr>
          <w:rFonts w:ascii="Verdana" w:eastAsia="Verdana" w:hAnsi="Verdana" w:cs="Verdana"/>
          <w:smallCaps/>
          <w:color w:val="FF0000"/>
          <w:sz w:val="20"/>
          <w:szCs w:val="20"/>
        </w:rPr>
      </w:pPr>
      <w:r>
        <w:rPr>
          <w:rFonts w:ascii="Verdana" w:eastAsia="Verdana" w:hAnsi="Verdana" w:cs="Verdana"/>
          <w:b/>
          <w:smallCaps/>
          <w:color w:val="FF0000"/>
          <w:sz w:val="20"/>
          <w:szCs w:val="20"/>
          <w:u w:val="single"/>
        </w:rPr>
        <w:lastRenderedPageBreak/>
        <w:t>bijlage</w:t>
      </w:r>
      <w:r w:rsidR="00B801D0">
        <w:rPr>
          <w:rFonts w:ascii="Verdana" w:eastAsia="Verdana" w:hAnsi="Verdana" w:cs="Verdana"/>
          <w:b/>
          <w:smallCaps/>
          <w:color w:val="FF0000"/>
          <w:sz w:val="20"/>
          <w:szCs w:val="20"/>
          <w:u w:val="single"/>
        </w:rPr>
        <w:t>n</w:t>
      </w:r>
    </w:p>
    <w:p w14:paraId="5DDB329A" w14:textId="77777777" w:rsidR="001F73A9" w:rsidRDefault="001F73A9" w:rsidP="001F73A9">
      <w:pPr>
        <w:jc w:val="both"/>
        <w:rPr>
          <w:rFonts w:ascii="Verdana" w:eastAsia="Verdana" w:hAnsi="Verdana" w:cs="Verdana"/>
          <w:smallCaps/>
          <w:color w:val="FF0000"/>
          <w:sz w:val="20"/>
          <w:szCs w:val="20"/>
        </w:rPr>
      </w:pPr>
    </w:p>
    <w:p w14:paraId="3D31293E" w14:textId="3E4704FC" w:rsidR="001F73A9" w:rsidRPr="00B801D0" w:rsidRDefault="001F73A9" w:rsidP="00B801D0">
      <w:pPr>
        <w:pStyle w:val="Lijstalinea"/>
        <w:numPr>
          <w:ilvl w:val="0"/>
          <w:numId w:val="2"/>
        </w:numPr>
        <w:jc w:val="both"/>
        <w:rPr>
          <w:rFonts w:ascii="Verdana" w:eastAsia="Verdana" w:hAnsi="Verdana" w:cs="Verdana"/>
          <w:sz w:val="20"/>
          <w:szCs w:val="20"/>
        </w:rPr>
      </w:pPr>
      <w:r w:rsidRPr="00B801D0">
        <w:rPr>
          <w:rFonts w:ascii="Verdana" w:eastAsia="Verdana" w:hAnsi="Verdana" w:cs="Verdana"/>
          <w:sz w:val="20"/>
          <w:szCs w:val="20"/>
        </w:rPr>
        <w:t>Lijst van alle VDAB-locaties waar sinds begin 2022 nog een opleiding is gestart</w:t>
      </w:r>
    </w:p>
    <w:p w14:paraId="0F73D7B4" w14:textId="435F68DF" w:rsidR="001F73A9" w:rsidRPr="00B801D0" w:rsidRDefault="001F73A9" w:rsidP="00B801D0">
      <w:pPr>
        <w:pStyle w:val="Lijstalinea"/>
        <w:numPr>
          <w:ilvl w:val="0"/>
          <w:numId w:val="2"/>
        </w:numPr>
        <w:autoSpaceDE w:val="0"/>
        <w:autoSpaceDN w:val="0"/>
        <w:adjustRightInd w:val="0"/>
        <w:jc w:val="both"/>
        <w:rPr>
          <w:rFonts w:ascii="Verdana" w:eastAsia="Verdana" w:hAnsi="Verdana" w:cs="Verdana"/>
          <w:sz w:val="20"/>
          <w:szCs w:val="20"/>
        </w:rPr>
      </w:pPr>
      <w:r w:rsidRPr="00B801D0">
        <w:rPr>
          <w:rFonts w:ascii="Verdana" w:eastAsia="Verdana" w:hAnsi="Verdana" w:cs="Verdana"/>
          <w:sz w:val="20"/>
          <w:szCs w:val="20"/>
        </w:rPr>
        <w:t>Aantal gestarte opleidingen door werkzoekenden en werknemers op VDAB-locaties, per opleidingslocatie en sector van de opleiding</w:t>
      </w:r>
    </w:p>
    <w:p w14:paraId="1F644BE1" w14:textId="0EAFF7AD" w:rsidR="001F73A9" w:rsidRPr="00B801D0" w:rsidRDefault="001F73A9" w:rsidP="00B801D0">
      <w:pPr>
        <w:pStyle w:val="Lijstalinea"/>
        <w:numPr>
          <w:ilvl w:val="0"/>
          <w:numId w:val="2"/>
        </w:numPr>
        <w:autoSpaceDE w:val="0"/>
        <w:autoSpaceDN w:val="0"/>
        <w:adjustRightInd w:val="0"/>
        <w:jc w:val="both"/>
        <w:rPr>
          <w:rFonts w:ascii="Verdana" w:eastAsia="Verdana" w:hAnsi="Verdana" w:cs="Verdana"/>
          <w:sz w:val="20"/>
          <w:szCs w:val="20"/>
        </w:rPr>
      </w:pPr>
      <w:r w:rsidRPr="00B801D0">
        <w:rPr>
          <w:rFonts w:ascii="Verdana" w:eastAsia="Verdana" w:hAnsi="Verdana" w:cs="Verdana"/>
          <w:sz w:val="20"/>
          <w:szCs w:val="20"/>
        </w:rPr>
        <w:t xml:space="preserve">Aantal gestarte opleidingen door leerlingen op VDAB-locaties, per </w:t>
      </w:r>
      <w:r w:rsidR="00A4104B" w:rsidRPr="00B801D0">
        <w:rPr>
          <w:rFonts w:ascii="Verdana" w:eastAsia="Verdana" w:hAnsi="Verdana" w:cs="Verdana"/>
          <w:sz w:val="20"/>
          <w:szCs w:val="20"/>
        </w:rPr>
        <w:t>o</w:t>
      </w:r>
      <w:r w:rsidRPr="00B801D0">
        <w:rPr>
          <w:rFonts w:ascii="Verdana" w:eastAsia="Verdana" w:hAnsi="Verdana" w:cs="Verdana"/>
          <w:sz w:val="20"/>
          <w:szCs w:val="20"/>
        </w:rPr>
        <w:t>pleidingslocatie en sector van de Opleiding</w:t>
      </w:r>
    </w:p>
    <w:p w14:paraId="53529FFE" w14:textId="160F945B" w:rsidR="001F73A9" w:rsidRPr="00B801D0" w:rsidRDefault="001F73A9" w:rsidP="00B801D0">
      <w:pPr>
        <w:pStyle w:val="Lijstalinea"/>
        <w:numPr>
          <w:ilvl w:val="0"/>
          <w:numId w:val="2"/>
        </w:numPr>
        <w:autoSpaceDE w:val="0"/>
        <w:autoSpaceDN w:val="0"/>
        <w:adjustRightInd w:val="0"/>
        <w:jc w:val="both"/>
        <w:rPr>
          <w:rFonts w:ascii="Verdana" w:eastAsia="Verdana" w:hAnsi="Verdana" w:cs="Verdana"/>
          <w:sz w:val="20"/>
          <w:szCs w:val="20"/>
        </w:rPr>
      </w:pPr>
      <w:r w:rsidRPr="00B801D0">
        <w:rPr>
          <w:rFonts w:ascii="Verdana" w:eastAsia="Verdana" w:hAnsi="Verdana" w:cs="Verdana"/>
          <w:sz w:val="20"/>
          <w:szCs w:val="20"/>
        </w:rPr>
        <w:t>Gebouwenkost voor opleiding</w:t>
      </w:r>
    </w:p>
    <w:p w14:paraId="0000001A" w14:textId="77777777" w:rsidR="00C2716E" w:rsidRPr="001F73A9" w:rsidRDefault="00C2716E">
      <w:pPr>
        <w:pBdr>
          <w:top w:val="nil"/>
          <w:left w:val="nil"/>
          <w:bottom w:val="nil"/>
          <w:right w:val="nil"/>
          <w:between w:val="nil"/>
        </w:pBdr>
        <w:jc w:val="both"/>
        <w:rPr>
          <w:rFonts w:ascii="Verdana" w:eastAsia="Verdana" w:hAnsi="Verdana" w:cs="Verdana"/>
          <w:sz w:val="20"/>
          <w:szCs w:val="20"/>
        </w:rPr>
      </w:pPr>
    </w:p>
    <w:sectPr w:rsidR="00C2716E" w:rsidRPr="001F73A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06C0" w14:textId="77777777" w:rsidR="00273C60" w:rsidRDefault="00273C60">
      <w:r>
        <w:separator/>
      </w:r>
    </w:p>
  </w:endnote>
  <w:endnote w:type="continuationSeparator" w:id="0">
    <w:p w14:paraId="4812096B" w14:textId="77777777" w:rsidR="00273C60" w:rsidRDefault="002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C2716E" w:rsidRDefault="00C2716E">
    <w:pPr>
      <w:pBdr>
        <w:top w:val="nil"/>
        <w:left w:val="nil"/>
        <w:bottom w:val="nil"/>
        <w:right w:val="nil"/>
        <w:between w:val="nil"/>
      </w:pBdr>
      <w:tabs>
        <w:tab w:val="center" w:pos="4819"/>
        <w:tab w:val="right" w:pos="9071"/>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5632" w14:textId="77777777" w:rsidR="00273C60" w:rsidRDefault="00273C60">
      <w:r>
        <w:separator/>
      </w:r>
    </w:p>
  </w:footnote>
  <w:footnote w:type="continuationSeparator" w:id="0">
    <w:p w14:paraId="5E649426" w14:textId="77777777" w:rsidR="00273C60" w:rsidRDefault="0027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722ED"/>
    <w:multiLevelType w:val="hybridMultilevel"/>
    <w:tmpl w:val="62689BB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740700AF"/>
    <w:multiLevelType w:val="hybridMultilevel"/>
    <w:tmpl w:val="E43C98EA"/>
    <w:lvl w:ilvl="0" w:tplc="E9085EF6">
      <w:start w:val="1"/>
      <w:numFmt w:val="decimal"/>
      <w:lvlText w:val="%1."/>
      <w:lvlJc w:val="left"/>
      <w:pPr>
        <w:ind w:left="360" w:hanging="360"/>
      </w:pPr>
      <w:rPr>
        <w:rFonts w:hint="default"/>
        <w:u w:val="no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252784209">
    <w:abstractNumId w:val="0"/>
  </w:num>
  <w:num w:numId="2" w16cid:durableId="2038581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6E"/>
    <w:rsid w:val="0001068E"/>
    <w:rsid w:val="001F73A9"/>
    <w:rsid w:val="00273C60"/>
    <w:rsid w:val="00622DC1"/>
    <w:rsid w:val="00A4104B"/>
    <w:rsid w:val="00B10AAD"/>
    <w:rsid w:val="00B801D0"/>
    <w:rsid w:val="00C2716E"/>
    <w:rsid w:val="00E56DF9"/>
    <w:rsid w:val="00FB56FD"/>
    <w:rsid w:val="123D3889"/>
    <w:rsid w:val="3C42EF8B"/>
    <w:rsid w:val="590FFF7D"/>
    <w:rsid w:val="73BDFC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3535"/>
  <w15:docId w15:val="{20FB451A-5346-48AB-83CF-D960276C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B801D0"/>
    <w:pPr>
      <w:ind w:left="720"/>
      <w:contextualSpacing/>
    </w:pPr>
  </w:style>
  <w:style w:type="paragraph" w:styleId="Koptekst">
    <w:name w:val="header"/>
    <w:basedOn w:val="Standaard"/>
    <w:link w:val="KoptekstChar"/>
    <w:uiPriority w:val="99"/>
    <w:unhideWhenUsed/>
    <w:rsid w:val="00B801D0"/>
    <w:pPr>
      <w:tabs>
        <w:tab w:val="center" w:pos="4536"/>
        <w:tab w:val="right" w:pos="9072"/>
      </w:tabs>
    </w:pPr>
  </w:style>
  <w:style w:type="character" w:customStyle="1" w:styleId="KoptekstChar">
    <w:name w:val="Koptekst Char"/>
    <w:basedOn w:val="Standaardalinea-lettertype"/>
    <w:link w:val="Koptekst"/>
    <w:uiPriority w:val="99"/>
    <w:rsid w:val="00B801D0"/>
  </w:style>
  <w:style w:type="paragraph" w:styleId="Voettekst">
    <w:name w:val="footer"/>
    <w:basedOn w:val="Standaard"/>
    <w:link w:val="VoettekstChar"/>
    <w:uiPriority w:val="99"/>
    <w:unhideWhenUsed/>
    <w:rsid w:val="00B801D0"/>
    <w:pPr>
      <w:tabs>
        <w:tab w:val="center" w:pos="4536"/>
        <w:tab w:val="right" w:pos="9072"/>
      </w:tabs>
    </w:pPr>
  </w:style>
  <w:style w:type="character" w:customStyle="1" w:styleId="VoettekstChar">
    <w:name w:val="Voettekst Char"/>
    <w:basedOn w:val="Standaardalinea-lettertype"/>
    <w:link w:val="Voettekst"/>
    <w:uiPriority w:val="99"/>
    <w:rsid w:val="00B8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7" ma:contentTypeDescription="Een nieuw document maken." ma:contentTypeScope="" ma:versionID="3b54681717e91fe4ad0651948620dcd2">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c97e844ab5867a891474717e2f2ea21a"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1385C-7DA1-45E7-AD32-205C4F87C3DA}">
  <ds:schemaRefs>
    <ds:schemaRef ds:uri="http://schemas.microsoft.com/sharepoint/v3/contenttype/forms"/>
  </ds:schemaRefs>
</ds:datastoreItem>
</file>

<file path=customXml/itemProps2.xml><?xml version="1.0" encoding="utf-8"?>
<ds:datastoreItem xmlns:ds="http://schemas.openxmlformats.org/officeDocument/2006/customXml" ds:itemID="{3603F348-423B-4B8C-9435-4EA05CC2D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2573</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hvkieldo</dc:creator>
  <cp:lastModifiedBy>Nathalie De Keyzer</cp:lastModifiedBy>
  <cp:revision>6</cp:revision>
  <dcterms:created xsi:type="dcterms:W3CDTF">2023-10-19T06:33:00Z</dcterms:created>
  <dcterms:modified xsi:type="dcterms:W3CDTF">2023-11-07T12:00:00Z</dcterms:modified>
</cp:coreProperties>
</file>