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11AA" w14:textId="04F1570D" w:rsidR="00AF4767" w:rsidRPr="0041354F" w:rsidRDefault="00AF4767" w:rsidP="00922FD9">
      <w:pPr>
        <w:jc w:val="both"/>
        <w:rPr>
          <w:b/>
          <w:bCs/>
          <w:u w:val="single"/>
        </w:rPr>
      </w:pPr>
      <w:r w:rsidRPr="00AF4767">
        <w:rPr>
          <w:b/>
          <w:bCs/>
          <w:u w:val="single"/>
        </w:rPr>
        <w:t xml:space="preserve">Amendement </w:t>
      </w:r>
      <w:r w:rsidR="004152FB">
        <w:rPr>
          <w:b/>
          <w:bCs/>
          <w:u w:val="single"/>
        </w:rPr>
        <w:t>1378</w:t>
      </w:r>
      <w:r w:rsidRPr="00AF4767">
        <w:rPr>
          <w:b/>
          <w:bCs/>
          <w:u w:val="single"/>
        </w:rPr>
        <w:t xml:space="preserve"> </w:t>
      </w:r>
      <w:r w:rsidR="004152FB">
        <w:rPr>
          <w:b/>
          <w:bCs/>
          <w:u w:val="single"/>
        </w:rPr>
        <w:t>Ontwerp van programmawet van 23 februari 2026</w:t>
      </w:r>
    </w:p>
    <w:p w14:paraId="17B0FADC" w14:textId="1AEA609E" w:rsidR="00AF4767" w:rsidRDefault="00AF4767" w:rsidP="00922FD9">
      <w:pPr>
        <w:jc w:val="both"/>
      </w:pPr>
      <w:r w:rsidRPr="00AF4767">
        <w:rPr>
          <w:b/>
          <w:bCs/>
        </w:rPr>
        <w:t>Amendement</w:t>
      </w:r>
      <w:r>
        <w:t xml:space="preserve">: </w:t>
      </w:r>
    </w:p>
    <w:p w14:paraId="60F9040F" w14:textId="399F2281" w:rsidR="004152FB" w:rsidRPr="008655FC" w:rsidRDefault="00D657F8" w:rsidP="00922FD9">
      <w:pPr>
        <w:jc w:val="both"/>
        <w:rPr>
          <w:u w:val="single"/>
        </w:rPr>
      </w:pPr>
      <w:r>
        <w:t>In</w:t>
      </w:r>
      <w:r w:rsidR="00AF4767">
        <w:t xml:space="preserve"> </w:t>
      </w:r>
      <w:r w:rsidR="004152FB">
        <w:t xml:space="preserve">Titel 5 Sociale zaken, Hoofdstuk 1, in artikel 98 de woorden ‘Artikel 97 treedt in werking </w:t>
      </w:r>
      <w:r w:rsidR="004152FB" w:rsidRPr="008655FC">
        <w:rPr>
          <w:u w:val="single"/>
        </w:rPr>
        <w:t>op 1 januari 2028</w:t>
      </w:r>
      <w:r w:rsidR="002E0FB7">
        <w:t xml:space="preserve">.’ te vervangen door ‘Artikel 97 treedt in werking </w:t>
      </w:r>
      <w:r w:rsidR="002E0FB7" w:rsidRPr="008655FC">
        <w:rPr>
          <w:u w:val="single"/>
        </w:rPr>
        <w:t>de maand volgend</w:t>
      </w:r>
      <w:r w:rsidR="002E0FB7">
        <w:t xml:space="preserve"> </w:t>
      </w:r>
      <w:r w:rsidR="002E0FB7" w:rsidRPr="008655FC">
        <w:rPr>
          <w:u w:val="single"/>
        </w:rPr>
        <w:t xml:space="preserve">op de publicatie van de programmawet in het Belgisch Staatsblad. </w:t>
      </w:r>
    </w:p>
    <w:p w14:paraId="42991424" w14:textId="47E1843A" w:rsidR="00922FD9" w:rsidRDefault="00922FD9" w:rsidP="00922FD9">
      <w:pPr>
        <w:jc w:val="both"/>
      </w:pPr>
      <w:r w:rsidRPr="00922FD9">
        <w:rPr>
          <w:b/>
          <w:bCs/>
        </w:rPr>
        <w:t>Toelichting</w:t>
      </w:r>
      <w:r>
        <w:t>:</w:t>
      </w:r>
    </w:p>
    <w:p w14:paraId="283C4149" w14:textId="3E7D3202" w:rsidR="002E0FB7" w:rsidRDefault="002E0FB7" w:rsidP="008655FC">
      <w:pPr>
        <w:pBdr>
          <w:bottom w:val="single" w:sz="4" w:space="1" w:color="auto"/>
        </w:pBdr>
        <w:jc w:val="both"/>
      </w:pPr>
      <w:r>
        <w:t>Artikel 97 voorziet in een versterking van de sociale werkbonus voor werknemers met een lager loon binnen het kader van werken meer aantrekkelijk maken. Er is dan ook geen reden om deze maatregel pas op 1 januari 2028 laten in te gaan, dit zou moeten gebeuren de maand volgend op de publicatie van de wet in het Belgisch Staatsblad. De inwerkingtreding een maand na de publicatie zorgt ervoor dat deze aanpassing payroll-technisch ook verwerkt kan worden</w:t>
      </w:r>
      <w:r w:rsidR="00915CC8">
        <w:t xml:space="preserve"> bij de sociale secretariaten en de werkgevers. </w:t>
      </w:r>
    </w:p>
    <w:p w14:paraId="70F423D7" w14:textId="77777777" w:rsidR="00E85FE4" w:rsidRDefault="00E85FE4" w:rsidP="00E85FE4">
      <w:pPr>
        <w:jc w:val="both"/>
      </w:pPr>
      <w:r w:rsidRPr="00AF4767">
        <w:rPr>
          <w:b/>
          <w:bCs/>
        </w:rPr>
        <w:t>Amendement</w:t>
      </w:r>
      <w:r>
        <w:t xml:space="preserve">: </w:t>
      </w:r>
    </w:p>
    <w:p w14:paraId="610FE005" w14:textId="2B56C99E" w:rsidR="00E85FE4" w:rsidRDefault="00E85FE4" w:rsidP="00E85FE4">
      <w:pPr>
        <w:jc w:val="both"/>
      </w:pPr>
      <w:r>
        <w:t xml:space="preserve">In Titel 3, Hoofdstuk 1, artikel 52 tot artikel 59 volledig schrappen. </w:t>
      </w:r>
    </w:p>
    <w:p w14:paraId="391215D4" w14:textId="77777777" w:rsidR="00E85FE4" w:rsidRDefault="00E85FE4" w:rsidP="00E85FE4">
      <w:pPr>
        <w:jc w:val="both"/>
      </w:pPr>
      <w:r w:rsidRPr="00922FD9">
        <w:rPr>
          <w:b/>
          <w:bCs/>
        </w:rPr>
        <w:t>Toelichting</w:t>
      </w:r>
      <w:r>
        <w:t>:</w:t>
      </w:r>
    </w:p>
    <w:p w14:paraId="74ED5955" w14:textId="63F44699" w:rsidR="00D657F8" w:rsidRDefault="00E85FE4" w:rsidP="008655FC">
      <w:pPr>
        <w:pBdr>
          <w:bottom w:val="single" w:sz="4" w:space="1" w:color="auto"/>
        </w:pBdr>
        <w:jc w:val="both"/>
      </w:pPr>
      <w:r>
        <w:t xml:space="preserve">Artikelen </w:t>
      </w:r>
      <w:r w:rsidR="007860AD">
        <w:t>52</w:t>
      </w:r>
      <w:r>
        <w:t xml:space="preserve"> tot </w:t>
      </w:r>
      <w:r w:rsidR="007860AD">
        <w:t>59</w:t>
      </w:r>
      <w:r>
        <w:t xml:space="preserve"> regelen de </w:t>
      </w:r>
      <w:r w:rsidR="007860AD">
        <w:t>loonmatiging door de tijdelijke beperking van de aanpassing van de lonen overeenkomstig een indexeringsmechanisme (de zogeheten ‘centenindex’). Door de impact op het merendeel van de werkende bevolking, de hoge complexiteit voor de bedrijven en de loonverwerking, alsook de additionele belasting voor bedrijven die hieruit voortvloeit in de vorm van een bijzondere loonmatigingsbijdrage, dient deze maatregel geschrapt te worden. De maatregel is weliswaar twee maal van toepassing, het brutoloonverlies dragen werknemers wel mee voor de rest van hun carrière</w:t>
      </w:r>
      <w:r w:rsidR="005D0427">
        <w:t>.</w:t>
      </w:r>
      <w:r w:rsidR="007860AD">
        <w:t xml:space="preserve"> </w:t>
      </w:r>
      <w:r w:rsidR="005D0427">
        <w:t xml:space="preserve">Bovendien, draagt het verlies op het brutoloon ook bij aan een verminderde opbouw van een tweede </w:t>
      </w:r>
      <w:r w:rsidR="00591B66">
        <w:t>pensioen</w:t>
      </w:r>
      <w:r w:rsidR="005D0427">
        <w:t>pijler, bijgevolg ondervinden werknemers ook na hun pensioen nog hinder van de maatregel. Dit is een disproportionele maatregel.</w:t>
      </w:r>
    </w:p>
    <w:p w14:paraId="481D6306" w14:textId="77777777" w:rsidR="00D657F8" w:rsidRDefault="00D657F8" w:rsidP="007B0EEE">
      <w:pPr>
        <w:jc w:val="both"/>
      </w:pPr>
      <w:r w:rsidRPr="00AF4767">
        <w:rPr>
          <w:b/>
          <w:bCs/>
        </w:rPr>
        <w:t>Amendement</w:t>
      </w:r>
      <w:r>
        <w:t xml:space="preserve">: </w:t>
      </w:r>
    </w:p>
    <w:p w14:paraId="2A6CB8AB" w14:textId="4AB952B2" w:rsidR="00D657F8" w:rsidRDefault="00D657F8" w:rsidP="007B0EEE">
      <w:pPr>
        <w:jc w:val="both"/>
      </w:pPr>
      <w:r>
        <w:t xml:space="preserve">In </w:t>
      </w:r>
      <w:r w:rsidR="00E85FE4">
        <w:t xml:space="preserve">Titel 3, </w:t>
      </w:r>
      <w:r w:rsidR="00915CC8">
        <w:t>Hoofdstuk 2</w:t>
      </w:r>
      <w:r w:rsidR="007860AD">
        <w:t>,</w:t>
      </w:r>
      <w:r w:rsidR="00915CC8">
        <w:t xml:space="preserve"> </w:t>
      </w:r>
      <w:r>
        <w:t>artikel</w:t>
      </w:r>
      <w:r w:rsidR="007B0EEE">
        <w:t xml:space="preserve"> 60 tot artikel 68 </w:t>
      </w:r>
      <w:r w:rsidR="00E85FE4">
        <w:t xml:space="preserve">volledig </w:t>
      </w:r>
      <w:r w:rsidR="007B0EEE">
        <w:t>schrappen</w:t>
      </w:r>
      <w:r w:rsidR="000279B0">
        <w:t xml:space="preserve"> en in Titel 3, Hoofdstuk 3, de artikelen 69 en 70 volledig schrappen. </w:t>
      </w:r>
    </w:p>
    <w:p w14:paraId="6555D61D" w14:textId="77777777" w:rsidR="00D657F8" w:rsidRDefault="00D657F8" w:rsidP="007B0EEE">
      <w:pPr>
        <w:jc w:val="both"/>
      </w:pPr>
      <w:r w:rsidRPr="00922FD9">
        <w:rPr>
          <w:b/>
          <w:bCs/>
        </w:rPr>
        <w:t>Toelichting</w:t>
      </w:r>
      <w:r>
        <w:t>:</w:t>
      </w:r>
    </w:p>
    <w:p w14:paraId="572AD0F5" w14:textId="18892BBC" w:rsidR="00D657F8" w:rsidRDefault="007B0EEE" w:rsidP="007B0EEE">
      <w:pPr>
        <w:jc w:val="both"/>
      </w:pPr>
      <w:r>
        <w:t xml:space="preserve">Artikelen 60 tot 68 regelen de bijzondere loonmatigingsbijdrage verschuldigd door bedrijven op het loon van werknemers. Deze loonmatigingsbijdrage is ongelimiteerd in de tijd en kan dus gezien worden als een additionele belasting voor de bedrijven wat ten nadele komt van de competitiviteit van onze bedrijven. Daarom dient deze geschrapt te worden. </w:t>
      </w:r>
    </w:p>
    <w:p w14:paraId="294D6111" w14:textId="77777777" w:rsidR="000279B0" w:rsidRDefault="000279B0" w:rsidP="000279B0">
      <w:pPr>
        <w:jc w:val="both"/>
      </w:pPr>
      <w:r w:rsidRPr="00AF4767">
        <w:rPr>
          <w:b/>
          <w:bCs/>
        </w:rPr>
        <w:t>Amendement</w:t>
      </w:r>
      <w:r>
        <w:t xml:space="preserve">: </w:t>
      </w:r>
    </w:p>
    <w:p w14:paraId="18918C77" w14:textId="5308F066" w:rsidR="000279B0" w:rsidRDefault="000279B0" w:rsidP="000279B0">
      <w:pPr>
        <w:jc w:val="both"/>
      </w:pPr>
      <w:r>
        <w:lastRenderedPageBreak/>
        <w:t xml:space="preserve">In Titel 3, Hoofdstuk 4, artikel 71 tot artikel 74 volledig schrappen. </w:t>
      </w:r>
    </w:p>
    <w:p w14:paraId="22C6690E" w14:textId="77777777" w:rsidR="000279B0" w:rsidRDefault="000279B0" w:rsidP="000279B0">
      <w:pPr>
        <w:jc w:val="both"/>
      </w:pPr>
      <w:r w:rsidRPr="00922FD9">
        <w:rPr>
          <w:b/>
          <w:bCs/>
        </w:rPr>
        <w:t>Toelichting</w:t>
      </w:r>
      <w:r>
        <w:t>:</w:t>
      </w:r>
    </w:p>
    <w:p w14:paraId="64F2FE66" w14:textId="2D454D8D" w:rsidR="000279B0" w:rsidRDefault="000279B0" w:rsidP="008655FC">
      <w:pPr>
        <w:pBdr>
          <w:bottom w:val="single" w:sz="4" w:space="1" w:color="auto"/>
        </w:pBdr>
        <w:jc w:val="both"/>
      </w:pPr>
      <w:r>
        <w:t xml:space="preserve">Artikelen 71 tot 74 regelen de maatregelen tot beperking van de indexering van de pensioenen (de zogeheten centenindex op de pensioenen). </w:t>
      </w:r>
      <w:r w:rsidR="005D0427">
        <w:t xml:space="preserve">Aangezien het bedrag € 2.000 bepaald werd op basis van het gemiddelde pensioen wordt het merendeel van de gepensioneerde bevolking getroffen door de maatregel. Daarnaast resulteert het pensioenverlies dat door de centenindex geleden wordt, in een koopkrachtverlies dat de gepensioneerden blijvend meedragen voor de rest van hun pensioen. Het gaat hier dus om een disproportionele maatregel. De complexiteit van de maatregelen en de ongelijke behandeling tussen </w:t>
      </w:r>
      <w:r w:rsidR="00551BF1">
        <w:t xml:space="preserve">de </w:t>
      </w:r>
      <w:r w:rsidR="005D0427">
        <w:t>werken</w:t>
      </w:r>
      <w:r w:rsidR="00551BF1">
        <w:t>de bevolking</w:t>
      </w:r>
      <w:r w:rsidR="005D0427">
        <w:t xml:space="preserve"> en </w:t>
      </w:r>
      <w:r w:rsidR="00551BF1">
        <w:t xml:space="preserve">de </w:t>
      </w:r>
      <w:r w:rsidR="005D0427">
        <w:t>gepensioneerde</w:t>
      </w:r>
      <w:r w:rsidR="00551BF1">
        <w:t xml:space="preserve"> bevolking</w:t>
      </w:r>
      <w:r w:rsidR="005D0427">
        <w:t xml:space="preserve"> enerzijds (door de verschillende inkomensgrenzen van € 4.000 en € 2.000) </w:t>
      </w:r>
      <w:r w:rsidR="00551BF1">
        <w:t>en de ongelijke behandeling binnen de groep gepensioneerden (personen met een pensioen net onder € 2.000 die nog een flexi-job of bijjob uitoefenen</w:t>
      </w:r>
      <w:r w:rsidR="00280AAD">
        <w:t xml:space="preserve"> en personen die een wettelijk pensioen van € 2.000 ontvangen zonder nog een activiteit uit te oefenen</w:t>
      </w:r>
      <w:r w:rsidR="00551BF1">
        <w:t>)</w:t>
      </w:r>
      <w:r w:rsidR="00280AAD">
        <w:t xml:space="preserve"> anderzijds, zorgen ervoor dat de maatregel nog moeilijk te verantwoorden is. Daarom is het aangewezen deze volledig te schrappen. </w:t>
      </w:r>
      <w:r w:rsidR="00551BF1">
        <w:t xml:space="preserve"> </w:t>
      </w:r>
    </w:p>
    <w:p w14:paraId="11D4AAB7" w14:textId="77777777" w:rsidR="00280AAD" w:rsidRDefault="00280AAD" w:rsidP="00280AAD">
      <w:pPr>
        <w:jc w:val="both"/>
      </w:pPr>
      <w:r w:rsidRPr="00AF4767">
        <w:rPr>
          <w:b/>
          <w:bCs/>
        </w:rPr>
        <w:t>Amendement</w:t>
      </w:r>
      <w:r>
        <w:t xml:space="preserve">: </w:t>
      </w:r>
    </w:p>
    <w:p w14:paraId="26A5F48A" w14:textId="24F5D66F" w:rsidR="00280AAD" w:rsidRDefault="00280AAD" w:rsidP="00280AAD">
      <w:pPr>
        <w:jc w:val="both"/>
      </w:pPr>
      <w:r>
        <w:t xml:space="preserve">In Titel 3, Hoofdstuk 5, artikel 75 tot artikel 79 volledig schrappen. </w:t>
      </w:r>
    </w:p>
    <w:p w14:paraId="47A3259A" w14:textId="77777777" w:rsidR="00280AAD" w:rsidRDefault="00280AAD" w:rsidP="00280AAD">
      <w:pPr>
        <w:jc w:val="both"/>
      </w:pPr>
      <w:r w:rsidRPr="00922FD9">
        <w:rPr>
          <w:b/>
          <w:bCs/>
        </w:rPr>
        <w:t>Toelichting</w:t>
      </w:r>
      <w:r>
        <w:t>:</w:t>
      </w:r>
    </w:p>
    <w:p w14:paraId="67AF70C6" w14:textId="097DE9C0" w:rsidR="007B0EEE" w:rsidRDefault="008655FC" w:rsidP="008655FC">
      <w:pPr>
        <w:jc w:val="both"/>
      </w:pPr>
      <w:r>
        <w:t xml:space="preserve">Er dient </w:t>
      </w:r>
      <w:r w:rsidR="00280AAD">
        <w:t>opgemerkt te worden dat de centenindex op uitkeringen tevens geldt voor uitkeringen gerelateerd aan moederschapsrust. Moeders vallen nu al terug op een uitkering die lager is dan hun laatst verdiende brutoloon en dienen daarom ontzien te worden van elke koopkrachtvermindering.</w:t>
      </w:r>
    </w:p>
    <w:p w14:paraId="0B88DF71" w14:textId="77777777" w:rsidR="00875536" w:rsidRDefault="00875536" w:rsidP="00875536">
      <w:pPr>
        <w:jc w:val="both"/>
      </w:pPr>
      <w:r w:rsidRPr="00AF4767">
        <w:rPr>
          <w:b/>
          <w:bCs/>
        </w:rPr>
        <w:t>Amendement</w:t>
      </w:r>
      <w:r>
        <w:t xml:space="preserve">: </w:t>
      </w:r>
    </w:p>
    <w:p w14:paraId="1CF0B005" w14:textId="25C8F986" w:rsidR="00875536" w:rsidRDefault="00875536" w:rsidP="00875536">
      <w:pPr>
        <w:jc w:val="both"/>
      </w:pPr>
      <w:r>
        <w:t xml:space="preserve">In Titel 3, Hoofdstuk 6, artikel 80 tot artikel 84 volledig schrappen. </w:t>
      </w:r>
    </w:p>
    <w:p w14:paraId="589D6B9C" w14:textId="77777777" w:rsidR="00875536" w:rsidRDefault="00875536" w:rsidP="00875536">
      <w:pPr>
        <w:jc w:val="both"/>
      </w:pPr>
      <w:r w:rsidRPr="00922FD9">
        <w:rPr>
          <w:b/>
          <w:bCs/>
        </w:rPr>
        <w:t>Toelichting</w:t>
      </w:r>
      <w:r>
        <w:t>:</w:t>
      </w:r>
    </w:p>
    <w:p w14:paraId="4E3FE3FD" w14:textId="0E79E700" w:rsidR="0041354F" w:rsidRDefault="008655FC" w:rsidP="00D657F8">
      <w:r>
        <w:t>Zie hierboven</w:t>
      </w:r>
      <w:r w:rsidR="00875536">
        <w:t xml:space="preserve"> </w:t>
      </w:r>
    </w:p>
    <w:p w14:paraId="25C16B77" w14:textId="77777777" w:rsidR="008655FC" w:rsidRDefault="008655FC" w:rsidP="00D657F8"/>
    <w:p w14:paraId="482244B0" w14:textId="77777777" w:rsidR="008655FC" w:rsidRDefault="008655FC" w:rsidP="00D657F8"/>
    <w:p w14:paraId="7432B186" w14:textId="36FE7FE5" w:rsidR="008655FC" w:rsidRDefault="008655FC" w:rsidP="00D657F8">
      <w:r>
        <w:t>Get.</w:t>
      </w:r>
    </w:p>
    <w:p w14:paraId="3BFF0109" w14:textId="193E8D42" w:rsidR="008655FC" w:rsidRDefault="008655FC" w:rsidP="00D657F8">
      <w:r>
        <w:t>Kurt Moons</w:t>
      </w:r>
    </w:p>
    <w:p w14:paraId="4AEE5FB2" w14:textId="0EA8258C" w:rsidR="008655FC" w:rsidRDefault="008655FC" w:rsidP="00D657F8">
      <w:r>
        <w:t xml:space="preserve">Ellen </w:t>
      </w:r>
      <w:proofErr w:type="spellStart"/>
      <w:r>
        <w:t>Samyn</w:t>
      </w:r>
      <w:proofErr w:type="spellEnd"/>
    </w:p>
    <w:p w14:paraId="38C1BDEC" w14:textId="77777777" w:rsidR="008655FC" w:rsidRPr="00D657F8" w:rsidRDefault="008655FC" w:rsidP="00D657F8"/>
    <w:sectPr w:rsidR="008655FC" w:rsidRPr="00D65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67"/>
    <w:rsid w:val="000279B0"/>
    <w:rsid w:val="00280AAD"/>
    <w:rsid w:val="002E0FB7"/>
    <w:rsid w:val="0041354F"/>
    <w:rsid w:val="004152FB"/>
    <w:rsid w:val="00551BF1"/>
    <w:rsid w:val="00584B84"/>
    <w:rsid w:val="00591B66"/>
    <w:rsid w:val="005A1E85"/>
    <w:rsid w:val="005D0427"/>
    <w:rsid w:val="007860AD"/>
    <w:rsid w:val="0079213F"/>
    <w:rsid w:val="007B0EEE"/>
    <w:rsid w:val="008655FC"/>
    <w:rsid w:val="00875536"/>
    <w:rsid w:val="00915CC8"/>
    <w:rsid w:val="00922FD9"/>
    <w:rsid w:val="00977947"/>
    <w:rsid w:val="00AA4376"/>
    <w:rsid w:val="00AC5A13"/>
    <w:rsid w:val="00AF4767"/>
    <w:rsid w:val="00C54C3F"/>
    <w:rsid w:val="00CD33C0"/>
    <w:rsid w:val="00D657F8"/>
    <w:rsid w:val="00DA1892"/>
    <w:rsid w:val="00E85F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C834"/>
  <w15:chartTrackingRefBased/>
  <w15:docId w15:val="{FECC60F4-80BF-4C9A-946E-0192C308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4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4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47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47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47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47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47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47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47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7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47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47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47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47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47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47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47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4767"/>
    <w:rPr>
      <w:rFonts w:eastAsiaTheme="majorEastAsia" w:cstheme="majorBidi"/>
      <w:color w:val="272727" w:themeColor="text1" w:themeTint="D8"/>
    </w:rPr>
  </w:style>
  <w:style w:type="paragraph" w:styleId="Titel">
    <w:name w:val="Title"/>
    <w:basedOn w:val="Standaard"/>
    <w:next w:val="Standaard"/>
    <w:link w:val="TitelChar"/>
    <w:uiPriority w:val="10"/>
    <w:qFormat/>
    <w:rsid w:val="00AF4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47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47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47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47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4767"/>
    <w:rPr>
      <w:i/>
      <w:iCs/>
      <w:color w:val="404040" w:themeColor="text1" w:themeTint="BF"/>
    </w:rPr>
  </w:style>
  <w:style w:type="paragraph" w:styleId="Lijstalinea">
    <w:name w:val="List Paragraph"/>
    <w:basedOn w:val="Standaard"/>
    <w:uiPriority w:val="34"/>
    <w:qFormat/>
    <w:rsid w:val="00AF4767"/>
    <w:pPr>
      <w:ind w:left="720"/>
      <w:contextualSpacing/>
    </w:pPr>
  </w:style>
  <w:style w:type="character" w:styleId="Intensievebenadrukking">
    <w:name w:val="Intense Emphasis"/>
    <w:basedOn w:val="Standaardalinea-lettertype"/>
    <w:uiPriority w:val="21"/>
    <w:qFormat/>
    <w:rsid w:val="00AF4767"/>
    <w:rPr>
      <w:i/>
      <w:iCs/>
      <w:color w:val="0F4761" w:themeColor="accent1" w:themeShade="BF"/>
    </w:rPr>
  </w:style>
  <w:style w:type="paragraph" w:styleId="Duidelijkcitaat">
    <w:name w:val="Intense Quote"/>
    <w:basedOn w:val="Standaard"/>
    <w:next w:val="Standaard"/>
    <w:link w:val="DuidelijkcitaatChar"/>
    <w:uiPriority w:val="30"/>
    <w:qFormat/>
    <w:rsid w:val="00AF4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4767"/>
    <w:rPr>
      <w:i/>
      <w:iCs/>
      <w:color w:val="0F4761" w:themeColor="accent1" w:themeShade="BF"/>
    </w:rPr>
  </w:style>
  <w:style w:type="character" w:styleId="Intensieveverwijzing">
    <w:name w:val="Intense Reference"/>
    <w:basedOn w:val="Standaardalinea-lettertype"/>
    <w:uiPriority w:val="32"/>
    <w:qFormat/>
    <w:rsid w:val="00AF47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3395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Isveldt</dc:creator>
  <cp:keywords/>
  <dc:description/>
  <cp:lastModifiedBy>Stijn Hiers</cp:lastModifiedBy>
  <cp:revision>2</cp:revision>
  <dcterms:created xsi:type="dcterms:W3CDTF">2026-03-03T10:45:00Z</dcterms:created>
  <dcterms:modified xsi:type="dcterms:W3CDTF">2026-03-03T10:45:00Z</dcterms:modified>
</cp:coreProperties>
</file>